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7"/>
        <w:gridCol w:w="2816"/>
        <w:gridCol w:w="1440"/>
        <w:gridCol w:w="2473"/>
        <w:gridCol w:w="1150"/>
      </w:tblGrid>
      <w:tr w:rsidR="00C71CA3" w:rsidRPr="00873498" w14:paraId="08403644" w14:textId="77777777" w:rsidTr="00670881">
        <w:trPr>
          <w:trHeight w:val="274"/>
        </w:trPr>
        <w:tc>
          <w:tcPr>
            <w:tcW w:w="1055" w:type="pct"/>
            <w:shd w:val="clear" w:color="auto" w:fill="25384A"/>
            <w:vAlign w:val="center"/>
          </w:tcPr>
          <w:p w14:paraId="5CB4B8A4" w14:textId="2C2ECDCC" w:rsidR="00C71CA3" w:rsidRPr="00873498" w:rsidRDefault="00C71CA3" w:rsidP="006530B6">
            <w:pPr>
              <w:spacing w:before="60" w:after="60"/>
              <w:jc w:val="left"/>
              <w:rPr>
                <w:rFonts w:ascii="Arial" w:hAnsi="Arial" w:cs="Arial"/>
                <w:sz w:val="20"/>
              </w:rPr>
            </w:pPr>
          </w:p>
        </w:tc>
        <w:tc>
          <w:tcPr>
            <w:tcW w:w="3945" w:type="pct"/>
            <w:gridSpan w:val="4"/>
            <w:shd w:val="clear" w:color="auto" w:fill="25384A"/>
            <w:vAlign w:val="center"/>
          </w:tcPr>
          <w:p w14:paraId="1C1C644A" w14:textId="2C89049B" w:rsidR="00C71CA3" w:rsidRPr="00873498" w:rsidRDefault="00C71CA3" w:rsidP="00E75F9F">
            <w:pPr>
              <w:spacing w:before="60" w:after="60"/>
              <w:jc w:val="right"/>
              <w:rPr>
                <w:rFonts w:ascii="Arial" w:hAnsi="Arial" w:cs="Arial"/>
                <w:b/>
                <w:sz w:val="20"/>
              </w:rPr>
            </w:pPr>
            <w:r w:rsidRPr="00873498">
              <w:rPr>
                <w:rFonts w:ascii="Arial" w:hAnsi="Arial" w:cs="Arial"/>
                <w:b/>
                <w:sz w:val="20"/>
              </w:rPr>
              <w:t>Last Updated</w:t>
            </w:r>
            <w:r w:rsidR="003374B2">
              <w:rPr>
                <w:rFonts w:ascii="Arial" w:hAnsi="Arial" w:cs="Arial"/>
                <w:b/>
                <w:sz w:val="20"/>
              </w:rPr>
              <w:t xml:space="preserve"> </w:t>
            </w:r>
            <w:r w:rsidR="003A033E">
              <w:rPr>
                <w:rFonts w:ascii="Arial" w:hAnsi="Arial" w:cs="Arial"/>
                <w:b/>
                <w:sz w:val="20"/>
              </w:rPr>
              <w:t>22/10/2025</w:t>
            </w:r>
          </w:p>
        </w:tc>
      </w:tr>
      <w:tr w:rsidR="00C71CA3" w:rsidRPr="00873498" w14:paraId="0ADA4CD2" w14:textId="77777777" w:rsidTr="00670881">
        <w:trPr>
          <w:trHeight w:val="190"/>
        </w:trPr>
        <w:tc>
          <w:tcPr>
            <w:tcW w:w="1055" w:type="pct"/>
            <w:vAlign w:val="center"/>
          </w:tcPr>
          <w:p w14:paraId="04D07A86" w14:textId="77777777" w:rsidR="00C71CA3" w:rsidRPr="00E75F9F" w:rsidRDefault="00C71CA3" w:rsidP="00E75F9F">
            <w:pPr>
              <w:jc w:val="left"/>
              <w:rPr>
                <w:rFonts w:ascii="Arial" w:hAnsi="Arial" w:cs="Arial"/>
                <w:b/>
                <w:bCs/>
                <w:sz w:val="18"/>
                <w:szCs w:val="18"/>
              </w:rPr>
            </w:pPr>
            <w:r w:rsidRPr="00E75F9F">
              <w:rPr>
                <w:rFonts w:ascii="Arial" w:hAnsi="Arial" w:cs="Arial"/>
                <w:b/>
                <w:bCs/>
                <w:sz w:val="18"/>
                <w:szCs w:val="18"/>
              </w:rPr>
              <w:t>Job Title</w:t>
            </w:r>
          </w:p>
        </w:tc>
        <w:tc>
          <w:tcPr>
            <w:tcW w:w="3945" w:type="pct"/>
            <w:gridSpan w:val="4"/>
          </w:tcPr>
          <w:p w14:paraId="4CF91653" w14:textId="5B7D07E4" w:rsidR="00C71CA3" w:rsidRPr="003374B2" w:rsidRDefault="006E3383" w:rsidP="003374B2">
            <w:pPr>
              <w:spacing w:before="60" w:after="60"/>
              <w:jc w:val="left"/>
              <w:rPr>
                <w:rFonts w:ascii="Century Gothic" w:eastAsia="Century Gothic" w:hAnsi="Century Gothic" w:cs="Century Gothic"/>
                <w:color w:val="000000"/>
                <w:w w:val="99"/>
                <w:sz w:val="20"/>
              </w:rPr>
            </w:pPr>
            <w:r w:rsidRPr="00F45DF5">
              <w:rPr>
                <w:rFonts w:ascii="Frutiger LT Std 45 Light" w:hAnsi="Frutiger LT Std 45 Light" w:cs="Arial"/>
                <w:color w:val="000000" w:themeColor="text1"/>
                <w:sz w:val="20"/>
              </w:rPr>
              <w:t xml:space="preserve">Associate Director </w:t>
            </w:r>
            <w:r>
              <w:rPr>
                <w:rFonts w:ascii="Frutiger LT Std 45 Light" w:hAnsi="Frutiger LT Std 45 Light" w:cs="Arial"/>
                <w:color w:val="000000" w:themeColor="text1"/>
                <w:sz w:val="20"/>
              </w:rPr>
              <w:t>of TNE</w:t>
            </w:r>
            <w:r w:rsidR="00F80FC0">
              <w:rPr>
                <w:rFonts w:ascii="Frutiger LT Std 45 Light" w:hAnsi="Frutiger LT Std 45 Light" w:cs="Arial"/>
                <w:color w:val="000000" w:themeColor="text1"/>
                <w:sz w:val="20"/>
              </w:rPr>
              <w:t xml:space="preserve"> and Academic Partnerships</w:t>
            </w:r>
          </w:p>
        </w:tc>
      </w:tr>
      <w:tr w:rsidR="00E75F9F" w:rsidRPr="00873498" w14:paraId="0EAFDC46" w14:textId="77777777" w:rsidTr="00670881">
        <w:tc>
          <w:tcPr>
            <w:tcW w:w="1055" w:type="pct"/>
          </w:tcPr>
          <w:p w14:paraId="7B09EBF6" w14:textId="0547DC7B" w:rsidR="006E6836" w:rsidRPr="00E75F9F" w:rsidRDefault="006E6836" w:rsidP="00E75F9F">
            <w:pPr>
              <w:jc w:val="left"/>
              <w:rPr>
                <w:rFonts w:ascii="Arial" w:hAnsi="Arial" w:cs="Arial"/>
                <w:b/>
                <w:bCs/>
                <w:sz w:val="18"/>
                <w:szCs w:val="18"/>
              </w:rPr>
            </w:pPr>
            <w:r w:rsidRPr="00E75F9F">
              <w:rPr>
                <w:rFonts w:ascii="Arial" w:hAnsi="Arial" w:cs="Arial"/>
                <w:b/>
                <w:bCs/>
                <w:sz w:val="18"/>
                <w:szCs w:val="18"/>
              </w:rPr>
              <w:t>Faculty/ Department</w:t>
            </w:r>
          </w:p>
        </w:tc>
        <w:tc>
          <w:tcPr>
            <w:tcW w:w="1410" w:type="pct"/>
          </w:tcPr>
          <w:p w14:paraId="46AE4569" w14:textId="689DBDA6" w:rsidR="006E6836" w:rsidRPr="00BE18C4" w:rsidRDefault="006E3383" w:rsidP="00E75F9F">
            <w:pPr>
              <w:spacing w:before="60" w:after="60"/>
              <w:jc w:val="left"/>
              <w:rPr>
                <w:rFonts w:ascii="Arial" w:hAnsi="Arial" w:cs="Arial"/>
                <w:sz w:val="20"/>
              </w:rPr>
            </w:pPr>
            <w:r w:rsidRPr="00F45DF5">
              <w:rPr>
                <w:rFonts w:ascii="Frutiger LT Std 45 Light" w:hAnsi="Frutiger LT Std 45 Light" w:cs="Arial"/>
                <w:color w:val="000000" w:themeColor="text1"/>
                <w:sz w:val="20"/>
              </w:rPr>
              <w:t>Global Engagement</w:t>
            </w:r>
          </w:p>
        </w:tc>
        <w:tc>
          <w:tcPr>
            <w:tcW w:w="721" w:type="pct"/>
          </w:tcPr>
          <w:p w14:paraId="26A9AF87" w14:textId="6D90722E" w:rsidR="006E6836" w:rsidRPr="00E75F9F" w:rsidRDefault="006E6836" w:rsidP="00E75F9F">
            <w:pPr>
              <w:jc w:val="left"/>
              <w:rPr>
                <w:rFonts w:ascii="Arial" w:hAnsi="Arial" w:cs="Arial"/>
                <w:b/>
                <w:bCs/>
                <w:sz w:val="18"/>
                <w:szCs w:val="18"/>
              </w:rPr>
            </w:pPr>
            <w:r w:rsidRPr="00E75F9F">
              <w:rPr>
                <w:rFonts w:ascii="Arial" w:hAnsi="Arial" w:cs="Arial"/>
                <w:b/>
                <w:bCs/>
                <w:sz w:val="18"/>
                <w:szCs w:val="18"/>
              </w:rPr>
              <w:t>Subsidiary</w:t>
            </w:r>
          </w:p>
        </w:tc>
        <w:sdt>
          <w:sdtPr>
            <w:rPr>
              <w:rFonts w:ascii="Arial" w:hAnsi="Arial" w:cs="Arial"/>
              <w:sz w:val="20"/>
            </w:rPr>
            <w:id w:val="620273010"/>
            <w:lock w:val="contentLocked"/>
            <w:placeholder>
              <w:docPart w:val="DefaultPlaceholder_-1854013440"/>
            </w:placeholder>
            <w:group/>
          </w:sdtPr>
          <w:sdtContent>
            <w:sdt>
              <w:sdtPr>
                <w:rPr>
                  <w:rFonts w:ascii="Arial" w:hAnsi="Arial" w:cs="Arial"/>
                  <w:sz w:val="20"/>
                </w:rPr>
                <w:id w:val="1027209897"/>
                <w:placeholder>
                  <w:docPart w:val="DefaultPlaceholder_-1854013438"/>
                </w:placeholder>
                <w:comboBox>
                  <w:listItem w:value="Choose an item."/>
                  <w:listItem w:displayText="University of Surrey" w:value="University of Surrey"/>
                  <w:listItem w:displayText="Operate Surrey Limited" w:value="Operate Surrey Limited"/>
                </w:comboBox>
              </w:sdtPr>
              <w:sdtEndPr>
                <w:rPr>
                  <w:rFonts w:ascii="Frutiger LT Std 45 Light" w:hAnsi="Frutiger LT Std 45 Light"/>
                  <w:color w:val="000000" w:themeColor="text1"/>
                </w:rPr>
              </w:sdtEndPr>
              <w:sdtContent>
                <w:tc>
                  <w:tcPr>
                    <w:tcW w:w="1814" w:type="pct"/>
                    <w:gridSpan w:val="2"/>
                  </w:tcPr>
                  <w:p w14:paraId="56BF9479" w14:textId="777EE765" w:rsidR="006E6836" w:rsidRPr="00BE18C4" w:rsidRDefault="003374B2" w:rsidP="00BE18C4">
                    <w:pPr>
                      <w:spacing w:before="60" w:after="60"/>
                      <w:jc w:val="left"/>
                      <w:rPr>
                        <w:rFonts w:ascii="Arial" w:hAnsi="Arial" w:cs="Arial"/>
                        <w:sz w:val="20"/>
                      </w:rPr>
                    </w:pPr>
                    <w:r w:rsidRPr="006E3383">
                      <w:rPr>
                        <w:rFonts w:ascii="Frutiger LT Std 45 Light" w:hAnsi="Frutiger LT Std 45 Light" w:cs="Arial"/>
                        <w:color w:val="000000" w:themeColor="text1"/>
                        <w:sz w:val="20"/>
                      </w:rPr>
                      <w:t>University of Surrey</w:t>
                    </w:r>
                  </w:p>
                </w:tc>
              </w:sdtContent>
            </w:sdt>
          </w:sdtContent>
        </w:sdt>
      </w:tr>
      <w:tr w:rsidR="00E75F9F" w:rsidRPr="00873498" w14:paraId="187E512E" w14:textId="77777777" w:rsidTr="00670881">
        <w:tc>
          <w:tcPr>
            <w:tcW w:w="1055" w:type="pct"/>
            <w:vAlign w:val="center"/>
          </w:tcPr>
          <w:p w14:paraId="73C1B8A0" w14:textId="77777777" w:rsidR="006E6836" w:rsidRPr="00E75F9F" w:rsidRDefault="006E6836" w:rsidP="00E75F9F">
            <w:pPr>
              <w:jc w:val="left"/>
              <w:rPr>
                <w:rFonts w:ascii="Arial" w:hAnsi="Arial" w:cs="Arial"/>
                <w:b/>
                <w:bCs/>
                <w:sz w:val="18"/>
                <w:szCs w:val="18"/>
              </w:rPr>
            </w:pPr>
            <w:r w:rsidRPr="00E75F9F">
              <w:rPr>
                <w:rFonts w:ascii="Arial" w:hAnsi="Arial" w:cs="Arial"/>
                <w:b/>
                <w:bCs/>
                <w:sz w:val="18"/>
                <w:szCs w:val="18"/>
              </w:rPr>
              <w:t xml:space="preserve">Job Family </w:t>
            </w:r>
          </w:p>
        </w:tc>
        <w:tc>
          <w:tcPr>
            <w:tcW w:w="1410" w:type="pct"/>
            <w:vAlign w:val="center"/>
          </w:tcPr>
          <w:p w14:paraId="69D4D5FF" w14:textId="0A536E41" w:rsidR="006E6836" w:rsidRPr="00BE18C4" w:rsidRDefault="004F0938" w:rsidP="00E75F9F">
            <w:pPr>
              <w:spacing w:before="60" w:after="60"/>
              <w:jc w:val="left"/>
              <w:rPr>
                <w:rFonts w:ascii="Arial" w:hAnsi="Arial" w:cs="Arial"/>
                <w:sz w:val="20"/>
              </w:rPr>
            </w:pPr>
            <w:r w:rsidRPr="006E3383">
              <w:rPr>
                <w:rFonts w:ascii="Frutiger LT Std 45 Light" w:hAnsi="Frutiger LT Std 45 Light" w:cs="Arial"/>
                <w:color w:val="000000" w:themeColor="text1"/>
                <w:sz w:val="20"/>
              </w:rPr>
              <w:t>Professional Services</w:t>
            </w:r>
            <w:r w:rsidRPr="00BE18C4">
              <w:rPr>
                <w:rFonts w:ascii="Arial" w:hAnsi="Arial" w:cs="Arial"/>
                <w:sz w:val="20"/>
              </w:rPr>
              <w:t xml:space="preserve"> </w:t>
            </w:r>
          </w:p>
        </w:tc>
        <w:tc>
          <w:tcPr>
            <w:tcW w:w="721" w:type="pct"/>
          </w:tcPr>
          <w:p w14:paraId="25228BDA" w14:textId="77777777" w:rsidR="006E6836" w:rsidRPr="00E75F9F" w:rsidRDefault="006E6836" w:rsidP="00E75F9F">
            <w:pPr>
              <w:jc w:val="left"/>
              <w:rPr>
                <w:rFonts w:ascii="Arial" w:hAnsi="Arial" w:cs="Arial"/>
                <w:b/>
                <w:bCs/>
                <w:sz w:val="18"/>
                <w:szCs w:val="18"/>
              </w:rPr>
            </w:pPr>
            <w:r w:rsidRPr="00E75F9F">
              <w:rPr>
                <w:rFonts w:ascii="Arial" w:hAnsi="Arial" w:cs="Arial"/>
                <w:b/>
                <w:bCs/>
                <w:sz w:val="18"/>
                <w:szCs w:val="18"/>
              </w:rPr>
              <w:t xml:space="preserve">Job Level </w:t>
            </w:r>
          </w:p>
        </w:tc>
        <w:tc>
          <w:tcPr>
            <w:tcW w:w="1814" w:type="pct"/>
            <w:gridSpan w:val="2"/>
          </w:tcPr>
          <w:p w14:paraId="395BF978" w14:textId="38E5FD6A" w:rsidR="006E6836" w:rsidRPr="00BE18C4" w:rsidRDefault="006E3383" w:rsidP="00BE18C4">
            <w:pPr>
              <w:spacing w:before="60" w:after="60"/>
              <w:jc w:val="left"/>
              <w:rPr>
                <w:rFonts w:ascii="Arial" w:hAnsi="Arial" w:cs="Arial"/>
                <w:sz w:val="20"/>
              </w:rPr>
            </w:pPr>
            <w:r w:rsidRPr="00670881">
              <w:rPr>
                <w:rFonts w:ascii="Frutiger LT Std 45 Light" w:hAnsi="Frutiger LT Std 45 Light" w:cs="Arial"/>
                <w:color w:val="000000" w:themeColor="text1"/>
                <w:sz w:val="20"/>
              </w:rPr>
              <w:t>6</w:t>
            </w:r>
          </w:p>
        </w:tc>
      </w:tr>
      <w:tr w:rsidR="00E75F9F" w:rsidRPr="00873498" w14:paraId="311C9A05" w14:textId="77777777" w:rsidTr="00670881">
        <w:trPr>
          <w:trHeight w:val="300"/>
        </w:trPr>
        <w:tc>
          <w:tcPr>
            <w:tcW w:w="1055" w:type="pct"/>
            <w:vAlign w:val="center"/>
          </w:tcPr>
          <w:p w14:paraId="40FD0A5B" w14:textId="7E2EA908" w:rsidR="00E75F9F" w:rsidRPr="00E75F9F" w:rsidRDefault="00E75F9F" w:rsidP="00E75F9F">
            <w:pPr>
              <w:jc w:val="left"/>
              <w:rPr>
                <w:rFonts w:ascii="Arial" w:hAnsi="Arial" w:cs="Arial"/>
                <w:b/>
                <w:bCs/>
                <w:sz w:val="18"/>
                <w:szCs w:val="18"/>
              </w:rPr>
            </w:pPr>
            <w:r w:rsidRPr="00E75F9F">
              <w:rPr>
                <w:rFonts w:ascii="Arial" w:hAnsi="Arial" w:cs="Arial"/>
                <w:b/>
                <w:bCs/>
                <w:sz w:val="18"/>
                <w:szCs w:val="18"/>
              </w:rPr>
              <w:t>Reports To</w:t>
            </w:r>
          </w:p>
        </w:tc>
        <w:tc>
          <w:tcPr>
            <w:tcW w:w="1410" w:type="pct"/>
          </w:tcPr>
          <w:p w14:paraId="1ADC7DA8" w14:textId="01B9326B" w:rsidR="00E75F9F" w:rsidRPr="00BE18C4" w:rsidRDefault="006E3383" w:rsidP="00E75F9F">
            <w:pPr>
              <w:spacing w:before="60" w:after="60"/>
              <w:jc w:val="left"/>
              <w:rPr>
                <w:rFonts w:ascii="Arial" w:hAnsi="Arial" w:cs="Arial"/>
                <w:sz w:val="20"/>
              </w:rPr>
            </w:pPr>
            <w:r>
              <w:rPr>
                <w:rFonts w:ascii="Frutiger LT Std 45 Light" w:hAnsi="Frutiger LT Std 45 Light" w:cs="Arial"/>
                <w:color w:val="000000" w:themeColor="text1"/>
                <w:sz w:val="20"/>
              </w:rPr>
              <w:t>Director of TNE</w:t>
            </w:r>
          </w:p>
        </w:tc>
        <w:tc>
          <w:tcPr>
            <w:tcW w:w="721" w:type="pct"/>
          </w:tcPr>
          <w:p w14:paraId="17CD49E2" w14:textId="7AA80BC6" w:rsidR="00E75F9F" w:rsidRPr="00E75F9F" w:rsidRDefault="00E75F9F" w:rsidP="00E75F9F">
            <w:pPr>
              <w:jc w:val="left"/>
              <w:rPr>
                <w:rFonts w:ascii="Arial" w:hAnsi="Arial" w:cs="Arial"/>
                <w:b/>
                <w:bCs/>
                <w:sz w:val="18"/>
                <w:szCs w:val="18"/>
              </w:rPr>
            </w:pPr>
            <w:r w:rsidRPr="00E75F9F">
              <w:rPr>
                <w:rFonts w:ascii="Arial" w:hAnsi="Arial" w:cs="Arial"/>
                <w:b/>
                <w:bCs/>
                <w:sz w:val="18"/>
                <w:szCs w:val="18"/>
              </w:rPr>
              <w:t>Line Manages</w:t>
            </w:r>
            <w:r w:rsidR="002C2169">
              <w:rPr>
                <w:rFonts w:ascii="Arial" w:hAnsi="Arial" w:cs="Arial"/>
                <w:b/>
                <w:bCs/>
                <w:sz w:val="18"/>
                <w:szCs w:val="18"/>
              </w:rPr>
              <w:t xml:space="preserve"> (role title(s))</w:t>
            </w:r>
          </w:p>
        </w:tc>
        <w:tc>
          <w:tcPr>
            <w:tcW w:w="1814" w:type="pct"/>
            <w:gridSpan w:val="2"/>
          </w:tcPr>
          <w:p w14:paraId="46832B30" w14:textId="0953CEF5" w:rsidR="00E75F9F" w:rsidRPr="00BE18C4" w:rsidRDefault="004F0938" w:rsidP="00BE18C4">
            <w:pPr>
              <w:spacing w:before="60" w:after="60"/>
              <w:jc w:val="left"/>
              <w:rPr>
                <w:rFonts w:ascii="Arial" w:hAnsi="Arial" w:cs="Arial"/>
                <w:sz w:val="20"/>
              </w:rPr>
            </w:pPr>
            <w:r w:rsidRPr="00BE18C4">
              <w:rPr>
                <w:rFonts w:ascii="Arial" w:hAnsi="Arial" w:cs="Arial"/>
                <w:sz w:val="20"/>
              </w:rPr>
              <w:t>n/a</w:t>
            </w:r>
          </w:p>
        </w:tc>
      </w:tr>
      <w:tr w:rsidR="006E6836" w:rsidRPr="00BE18C4" w14:paraId="784577A9" w14:textId="77777777" w:rsidTr="00E75F9F">
        <w:trPr>
          <w:trHeight w:val="70"/>
        </w:trPr>
        <w:tc>
          <w:tcPr>
            <w:tcW w:w="5000" w:type="pct"/>
            <w:gridSpan w:val="5"/>
          </w:tcPr>
          <w:p w14:paraId="39727CE0" w14:textId="212DB33F" w:rsidR="004F0938" w:rsidRDefault="006E6836" w:rsidP="00BE18C4">
            <w:pPr>
              <w:spacing w:after="0"/>
              <w:rPr>
                <w:rFonts w:ascii="Arial" w:hAnsi="Arial" w:cs="Arial"/>
                <w:i/>
                <w:sz w:val="18"/>
              </w:rPr>
            </w:pPr>
            <w:r w:rsidRPr="00873498">
              <w:rPr>
                <w:rFonts w:ascii="Arial" w:hAnsi="Arial" w:cs="Arial"/>
                <w:b/>
                <w:sz w:val="20"/>
                <w:u w:val="single"/>
              </w:rPr>
              <w:t>Job Statement</w:t>
            </w:r>
            <w:r w:rsidRPr="00873498">
              <w:rPr>
                <w:rFonts w:ascii="Arial" w:hAnsi="Arial" w:cs="Arial"/>
                <w:b/>
                <w:bCs/>
                <w:i/>
                <w:color w:val="FF0000"/>
                <w:sz w:val="16"/>
                <w:szCs w:val="16"/>
              </w:rPr>
              <w:t xml:space="preserve"> </w:t>
            </w:r>
            <w:r w:rsidRPr="004F0938">
              <w:rPr>
                <w:rFonts w:ascii="Arial" w:hAnsi="Arial" w:cs="Arial"/>
                <w:iCs/>
                <w:sz w:val="16"/>
                <w:szCs w:val="16"/>
              </w:rPr>
              <w:t>This should be a concise, short paragraph of what the post entails and why it exists in terms of contribution and impact e.g. improving student/staff experience, increasing University funds etc.</w:t>
            </w:r>
            <w:r w:rsidRPr="00873498">
              <w:rPr>
                <w:rFonts w:ascii="Arial" w:hAnsi="Arial" w:cs="Arial"/>
                <w:i/>
                <w:sz w:val="18"/>
              </w:rPr>
              <w:t xml:space="preserve"> </w:t>
            </w:r>
          </w:p>
          <w:p w14:paraId="79994789" w14:textId="77777777" w:rsidR="00026495" w:rsidRDefault="00026495" w:rsidP="00BE18C4">
            <w:pPr>
              <w:spacing w:after="0"/>
              <w:rPr>
                <w:rFonts w:ascii="Arial" w:hAnsi="Arial" w:cs="Arial"/>
                <w:i/>
                <w:sz w:val="18"/>
              </w:rPr>
            </w:pPr>
          </w:p>
          <w:p w14:paraId="126649BB" w14:textId="38D6C831" w:rsidR="00026495" w:rsidRPr="00026495" w:rsidRDefault="00026495" w:rsidP="00026495">
            <w:pPr>
              <w:spacing w:after="0"/>
              <w:rPr>
                <w:rFonts w:ascii="Frutiger LT Std 45 Light" w:hAnsi="Frutiger LT Std 45 Light" w:cs="Arial"/>
                <w:color w:val="000000" w:themeColor="text1"/>
                <w:sz w:val="20"/>
              </w:rPr>
            </w:pPr>
            <w:r w:rsidRPr="00026495">
              <w:rPr>
                <w:rFonts w:ascii="Frutiger LT Std 45 Light" w:hAnsi="Frutiger LT Std 45 Light" w:cs="Arial"/>
                <w:color w:val="000000" w:themeColor="text1"/>
                <w:sz w:val="20"/>
              </w:rPr>
              <w:t>The Associate Director of Transnational Education (TNE) provides strategic leadership for the development, management and quality assurance of the University’s international partnerships and branch campuses (TNE portfolio). The role leads cross-University teams to identify, evaluate and deliver new partnerships and programmes; oversees financial and contractual negotiations; ensures regulatory compliance and academic excellence; and, when required, deputises for the Director of TNE (Global Engagement &amp; Partnerships) in representing the University with governments, agencies and institutional leaders.</w:t>
            </w:r>
          </w:p>
          <w:p w14:paraId="4685060A" w14:textId="4B9605D3" w:rsidR="004F0938" w:rsidRPr="00873498" w:rsidRDefault="004F0938" w:rsidP="00026495">
            <w:pPr>
              <w:spacing w:before="60" w:after="60"/>
              <w:jc w:val="left"/>
              <w:rPr>
                <w:rFonts w:ascii="Arial" w:hAnsi="Arial" w:cs="Arial"/>
                <w:sz w:val="20"/>
              </w:rPr>
            </w:pPr>
          </w:p>
        </w:tc>
      </w:tr>
      <w:tr w:rsidR="006E6836" w:rsidRPr="00873498" w14:paraId="25ADF906" w14:textId="77777777" w:rsidTr="00E75F9F">
        <w:trPr>
          <w:trHeight w:val="70"/>
        </w:trPr>
        <w:tc>
          <w:tcPr>
            <w:tcW w:w="5000" w:type="pct"/>
            <w:gridSpan w:val="5"/>
            <w:tcBorders>
              <w:top w:val="single" w:sz="4" w:space="0" w:color="auto"/>
              <w:left w:val="single" w:sz="4" w:space="0" w:color="auto"/>
              <w:bottom w:val="single" w:sz="4" w:space="0" w:color="auto"/>
              <w:right w:val="single" w:sz="4" w:space="0" w:color="auto"/>
            </w:tcBorders>
            <w:shd w:val="clear" w:color="auto" w:fill="25384A"/>
          </w:tcPr>
          <w:p w14:paraId="1C0C79EB" w14:textId="1B843700" w:rsidR="006E6836" w:rsidRPr="00873498" w:rsidRDefault="006E6836" w:rsidP="006E6836">
            <w:pPr>
              <w:spacing w:before="60" w:after="60" w:line="240" w:lineRule="exact"/>
              <w:rPr>
                <w:rFonts w:ascii="Arial" w:hAnsi="Arial" w:cs="Arial"/>
                <w:sz w:val="16"/>
              </w:rPr>
            </w:pPr>
            <w:r w:rsidRPr="00873498">
              <w:rPr>
                <w:rFonts w:ascii="Arial" w:hAnsi="Arial" w:cs="Arial"/>
                <w:b/>
                <w:sz w:val="16"/>
              </w:rPr>
              <w:br w:type="page"/>
            </w:r>
            <w:r w:rsidRPr="00873498">
              <w:rPr>
                <w:rFonts w:ascii="Arial" w:hAnsi="Arial" w:cs="Arial"/>
                <w:b/>
                <w:sz w:val="20"/>
                <w:u w:val="single"/>
              </w:rPr>
              <w:t xml:space="preserve">Key Responsibilities </w:t>
            </w:r>
            <w:r w:rsidRPr="00873498">
              <w:rPr>
                <w:rFonts w:ascii="Arial" w:hAnsi="Arial" w:cs="Arial"/>
                <w:sz w:val="16"/>
              </w:rPr>
              <w:t xml:space="preserve">This is not designed to be a list of all tasks undertaken but the main responsibilities (5 to 8 maximum) </w:t>
            </w:r>
          </w:p>
        </w:tc>
      </w:tr>
      <w:tr w:rsidR="006E6836" w:rsidRPr="00873498" w14:paraId="57ABE7E7" w14:textId="77777777" w:rsidTr="00E75F9F">
        <w:trPr>
          <w:trHeight w:val="70"/>
        </w:trPr>
        <w:tc>
          <w:tcPr>
            <w:tcW w:w="5000" w:type="pct"/>
            <w:gridSpan w:val="5"/>
            <w:tcBorders>
              <w:top w:val="single" w:sz="4" w:space="0" w:color="auto"/>
              <w:left w:val="single" w:sz="4" w:space="0" w:color="auto"/>
              <w:bottom w:val="single" w:sz="4" w:space="0" w:color="auto"/>
              <w:right w:val="single" w:sz="4" w:space="0" w:color="auto"/>
            </w:tcBorders>
          </w:tcPr>
          <w:p w14:paraId="59D30AE5" w14:textId="77777777" w:rsidR="00026495" w:rsidRPr="00026495" w:rsidRDefault="00026495" w:rsidP="00026495">
            <w:pPr>
              <w:widowControl w:val="0"/>
              <w:spacing w:before="55"/>
              <w:ind w:right="295"/>
              <w:rPr>
                <w:rFonts w:ascii="Arial" w:hAnsi="Arial" w:cs="Arial"/>
                <w:sz w:val="18"/>
                <w:szCs w:val="18"/>
                <w:u w:val="single"/>
              </w:rPr>
            </w:pPr>
            <w:r w:rsidRPr="00026495">
              <w:rPr>
                <w:rFonts w:ascii="Arial" w:hAnsi="Arial" w:cs="Arial"/>
                <w:b/>
                <w:bCs/>
                <w:sz w:val="18"/>
                <w:szCs w:val="18"/>
                <w:u w:val="single"/>
              </w:rPr>
              <w:t>Strategic planning &amp; implementation</w:t>
            </w:r>
          </w:p>
          <w:p w14:paraId="1055EBD4" w14:textId="77777777" w:rsidR="00026495" w:rsidRPr="00026495" w:rsidRDefault="00026495" w:rsidP="00026495">
            <w:pPr>
              <w:widowControl w:val="0"/>
              <w:numPr>
                <w:ilvl w:val="0"/>
                <w:numId w:val="31"/>
              </w:numPr>
              <w:spacing w:before="55"/>
              <w:ind w:right="295"/>
              <w:rPr>
                <w:rFonts w:ascii="Arial" w:hAnsi="Arial" w:cs="Arial"/>
                <w:sz w:val="18"/>
                <w:szCs w:val="18"/>
              </w:rPr>
            </w:pPr>
            <w:r w:rsidRPr="00026495">
              <w:rPr>
                <w:rFonts w:ascii="Arial" w:hAnsi="Arial" w:cs="Arial"/>
                <w:sz w:val="18"/>
                <w:szCs w:val="18"/>
              </w:rPr>
              <w:t>Translate University strategy (incl. Vision 2041) into practical, achievable international partnership delivery plans with clear milestones, risks and KPIs.</w:t>
            </w:r>
          </w:p>
          <w:p w14:paraId="4B44E86D" w14:textId="77777777" w:rsidR="00026495" w:rsidRPr="00026495" w:rsidRDefault="00026495" w:rsidP="00026495">
            <w:pPr>
              <w:widowControl w:val="0"/>
              <w:numPr>
                <w:ilvl w:val="0"/>
                <w:numId w:val="31"/>
              </w:numPr>
              <w:spacing w:before="55"/>
              <w:ind w:right="295"/>
              <w:rPr>
                <w:rFonts w:ascii="Arial" w:hAnsi="Arial" w:cs="Arial"/>
                <w:sz w:val="18"/>
                <w:szCs w:val="18"/>
              </w:rPr>
            </w:pPr>
            <w:r w:rsidRPr="00026495">
              <w:rPr>
                <w:rFonts w:ascii="Arial" w:hAnsi="Arial" w:cs="Arial"/>
                <w:sz w:val="18"/>
                <w:szCs w:val="18"/>
              </w:rPr>
              <w:t>Lead and continuously refine the University strategy on international partnerships (including online/blended delivery within international), ensuring alignment with academic standards, market intelligence and regulatory requirements.</w:t>
            </w:r>
          </w:p>
          <w:p w14:paraId="2D957138" w14:textId="77777777" w:rsidR="00026495" w:rsidRPr="00294911" w:rsidRDefault="00026495" w:rsidP="00026495">
            <w:pPr>
              <w:widowControl w:val="0"/>
              <w:numPr>
                <w:ilvl w:val="0"/>
                <w:numId w:val="31"/>
              </w:numPr>
              <w:spacing w:before="55"/>
              <w:ind w:right="295"/>
              <w:rPr>
                <w:rFonts w:ascii="Arial" w:hAnsi="Arial" w:cs="Arial"/>
                <w:sz w:val="18"/>
                <w:szCs w:val="18"/>
              </w:rPr>
            </w:pPr>
            <w:r w:rsidRPr="00294911">
              <w:rPr>
                <w:rFonts w:ascii="Arial" w:hAnsi="Arial" w:cs="Arial"/>
                <w:sz w:val="18"/>
                <w:szCs w:val="18"/>
              </w:rPr>
              <w:t>Co-develop, with the Director of TNE (Global Engagement &amp; Partnerships), periodic reviews of the International Strategy as it relates to TNE and new markets.</w:t>
            </w:r>
          </w:p>
          <w:p w14:paraId="59254018" w14:textId="5C69D797" w:rsidR="00026495" w:rsidRPr="00294911" w:rsidRDefault="00026495" w:rsidP="00026495">
            <w:pPr>
              <w:widowControl w:val="0"/>
              <w:numPr>
                <w:ilvl w:val="0"/>
                <w:numId w:val="31"/>
              </w:numPr>
              <w:spacing w:before="55"/>
              <w:ind w:right="295"/>
              <w:rPr>
                <w:rFonts w:ascii="Arial" w:hAnsi="Arial" w:cs="Arial"/>
                <w:sz w:val="18"/>
                <w:szCs w:val="18"/>
              </w:rPr>
            </w:pPr>
            <w:r w:rsidRPr="00294911">
              <w:rPr>
                <w:rFonts w:ascii="Arial" w:hAnsi="Arial" w:cs="Arial"/>
                <w:sz w:val="18"/>
                <w:szCs w:val="18"/>
              </w:rPr>
              <w:t>Build a pipeline of strategic partnerships with reputable state and private HEIs to support sustainable progression routes into Surrey programmes (on-campus, in-country and international online/blended).</w:t>
            </w:r>
          </w:p>
          <w:p w14:paraId="0518AEE4" w14:textId="77777777" w:rsidR="00026495" w:rsidRPr="00026495" w:rsidRDefault="00026495" w:rsidP="00026495">
            <w:pPr>
              <w:widowControl w:val="0"/>
              <w:numPr>
                <w:ilvl w:val="0"/>
                <w:numId w:val="31"/>
              </w:numPr>
              <w:spacing w:before="55"/>
              <w:ind w:right="295"/>
              <w:rPr>
                <w:rFonts w:ascii="Arial" w:hAnsi="Arial" w:cs="Arial"/>
                <w:sz w:val="18"/>
                <w:szCs w:val="18"/>
              </w:rPr>
            </w:pPr>
            <w:r w:rsidRPr="00294911">
              <w:rPr>
                <w:rFonts w:ascii="Arial" w:hAnsi="Arial" w:cs="Arial"/>
                <w:sz w:val="18"/>
                <w:szCs w:val="18"/>
              </w:rPr>
              <w:t>Lead University cou</w:t>
            </w:r>
            <w:r w:rsidRPr="00026495">
              <w:rPr>
                <w:rFonts w:ascii="Arial" w:hAnsi="Arial" w:cs="Arial"/>
                <w:sz w:val="18"/>
                <w:szCs w:val="18"/>
              </w:rPr>
              <w:t>rse development teams for international partners (UG/PGT/PGR and pre-degree), securing approvals, resourcing, and on-time launches.</w:t>
            </w:r>
          </w:p>
          <w:p w14:paraId="1EFA0FF6" w14:textId="77777777" w:rsidR="00026495" w:rsidRPr="00026495" w:rsidRDefault="00026495" w:rsidP="00026495">
            <w:pPr>
              <w:widowControl w:val="0"/>
              <w:spacing w:before="55"/>
              <w:ind w:right="295"/>
              <w:rPr>
                <w:rFonts w:ascii="Arial" w:hAnsi="Arial" w:cs="Arial"/>
                <w:sz w:val="18"/>
                <w:szCs w:val="18"/>
                <w:u w:val="single"/>
              </w:rPr>
            </w:pPr>
            <w:r w:rsidRPr="00026495">
              <w:rPr>
                <w:rFonts w:ascii="Arial" w:hAnsi="Arial" w:cs="Arial"/>
                <w:b/>
                <w:bCs/>
                <w:sz w:val="18"/>
                <w:szCs w:val="18"/>
                <w:u w:val="single"/>
              </w:rPr>
              <w:t>Partnership creation, management &amp; governance</w:t>
            </w:r>
          </w:p>
          <w:p w14:paraId="7A430D81" w14:textId="77777777" w:rsidR="00026495" w:rsidRPr="00026495" w:rsidRDefault="00026495" w:rsidP="00026495">
            <w:pPr>
              <w:widowControl w:val="0"/>
              <w:numPr>
                <w:ilvl w:val="0"/>
                <w:numId w:val="32"/>
              </w:numPr>
              <w:spacing w:before="55"/>
              <w:ind w:right="295"/>
              <w:rPr>
                <w:rFonts w:ascii="Arial" w:hAnsi="Arial" w:cs="Arial"/>
                <w:sz w:val="18"/>
                <w:szCs w:val="18"/>
              </w:rPr>
            </w:pPr>
            <w:r w:rsidRPr="00026495">
              <w:rPr>
                <w:rFonts w:ascii="Arial" w:hAnsi="Arial" w:cs="Arial"/>
                <w:sz w:val="18"/>
                <w:szCs w:val="18"/>
              </w:rPr>
              <w:t>Seek, assess and develop new strategic partnerships; manage and enhance existing partnerships through robust relationship management, performance reviews and improvement plans.</w:t>
            </w:r>
          </w:p>
          <w:p w14:paraId="796A1674" w14:textId="77777777" w:rsidR="00026495" w:rsidRPr="00026495" w:rsidRDefault="00026495" w:rsidP="00026495">
            <w:pPr>
              <w:widowControl w:val="0"/>
              <w:numPr>
                <w:ilvl w:val="0"/>
                <w:numId w:val="32"/>
              </w:numPr>
              <w:spacing w:before="55"/>
              <w:ind w:right="295"/>
              <w:rPr>
                <w:rFonts w:ascii="Arial" w:hAnsi="Arial" w:cs="Arial"/>
                <w:sz w:val="18"/>
                <w:szCs w:val="18"/>
              </w:rPr>
            </w:pPr>
            <w:r w:rsidRPr="00026495">
              <w:rPr>
                <w:rFonts w:ascii="Arial" w:hAnsi="Arial" w:cs="Arial"/>
                <w:sz w:val="18"/>
                <w:szCs w:val="18"/>
              </w:rPr>
              <w:t>Support financial and contractual negotiations with partners, working closely with Finance, Legal and academic governance to ensure value, compliance and mutual benefit.</w:t>
            </w:r>
          </w:p>
          <w:p w14:paraId="75EC656F" w14:textId="77777777" w:rsidR="00026495" w:rsidRPr="00026495" w:rsidRDefault="00026495" w:rsidP="00026495">
            <w:pPr>
              <w:widowControl w:val="0"/>
              <w:numPr>
                <w:ilvl w:val="0"/>
                <w:numId w:val="32"/>
              </w:numPr>
              <w:spacing w:before="55"/>
              <w:ind w:right="295"/>
              <w:rPr>
                <w:rFonts w:ascii="Arial" w:hAnsi="Arial" w:cs="Arial"/>
                <w:sz w:val="18"/>
                <w:szCs w:val="18"/>
              </w:rPr>
            </w:pPr>
            <w:r w:rsidRPr="00026495">
              <w:rPr>
                <w:rFonts w:ascii="Arial" w:hAnsi="Arial" w:cs="Arial"/>
                <w:sz w:val="18"/>
                <w:szCs w:val="18"/>
              </w:rPr>
              <w:t>Oversee documentation, validations and quality assurance for partner delivery, ensuring all arrangements meet internal QA, external regulatory and accreditation requirements.</w:t>
            </w:r>
          </w:p>
          <w:p w14:paraId="08FC58ED" w14:textId="77777777" w:rsidR="00026495" w:rsidRPr="00026495" w:rsidRDefault="00026495" w:rsidP="00026495">
            <w:pPr>
              <w:widowControl w:val="0"/>
              <w:numPr>
                <w:ilvl w:val="0"/>
                <w:numId w:val="32"/>
              </w:numPr>
              <w:spacing w:before="55"/>
              <w:ind w:right="295"/>
              <w:rPr>
                <w:rFonts w:ascii="Arial" w:hAnsi="Arial" w:cs="Arial"/>
                <w:sz w:val="18"/>
                <w:szCs w:val="18"/>
              </w:rPr>
            </w:pPr>
            <w:r w:rsidRPr="00026495">
              <w:rPr>
                <w:rFonts w:ascii="Arial" w:hAnsi="Arial" w:cs="Arial"/>
                <w:sz w:val="18"/>
                <w:szCs w:val="18"/>
              </w:rPr>
              <w:t>Establish productive links with overseas government departments, regulators and educational agencies to support Surrey’s TNE activities and market access.</w:t>
            </w:r>
          </w:p>
          <w:p w14:paraId="53EC2A7A" w14:textId="77777777" w:rsidR="00026495" w:rsidRPr="00026495" w:rsidRDefault="00026495" w:rsidP="00026495">
            <w:pPr>
              <w:widowControl w:val="0"/>
              <w:spacing w:before="55"/>
              <w:ind w:right="295"/>
              <w:rPr>
                <w:rFonts w:ascii="Arial" w:hAnsi="Arial" w:cs="Arial"/>
                <w:sz w:val="18"/>
                <w:szCs w:val="18"/>
                <w:u w:val="single"/>
              </w:rPr>
            </w:pPr>
            <w:r w:rsidRPr="00026495">
              <w:rPr>
                <w:rFonts w:ascii="Arial" w:hAnsi="Arial" w:cs="Arial"/>
                <w:b/>
                <w:bCs/>
                <w:sz w:val="18"/>
                <w:szCs w:val="18"/>
                <w:u w:val="single"/>
              </w:rPr>
              <w:t>Operational oversight &amp; delivery</w:t>
            </w:r>
          </w:p>
          <w:p w14:paraId="262674DF" w14:textId="77777777" w:rsidR="00026495" w:rsidRPr="00026495" w:rsidRDefault="00026495" w:rsidP="00026495">
            <w:pPr>
              <w:widowControl w:val="0"/>
              <w:numPr>
                <w:ilvl w:val="0"/>
                <w:numId w:val="33"/>
              </w:numPr>
              <w:spacing w:before="55"/>
              <w:ind w:right="295"/>
              <w:rPr>
                <w:rFonts w:ascii="Arial" w:hAnsi="Arial" w:cs="Arial"/>
                <w:sz w:val="18"/>
                <w:szCs w:val="18"/>
              </w:rPr>
            </w:pPr>
            <w:r w:rsidRPr="00026495">
              <w:rPr>
                <w:rFonts w:ascii="Arial" w:hAnsi="Arial" w:cs="Arial"/>
                <w:sz w:val="18"/>
                <w:szCs w:val="18"/>
              </w:rPr>
              <w:t>Direct cross-functional delivery teams (Faculties, Registry/QA, Legal, Finance, International Engagement/Global Partnerships, Marketing &amp; Communications) to implement approved partnerships to time, cost and quality.</w:t>
            </w:r>
          </w:p>
          <w:p w14:paraId="2C5E4DBA" w14:textId="77777777" w:rsidR="00026495" w:rsidRPr="00026495" w:rsidRDefault="00026495" w:rsidP="00026495">
            <w:pPr>
              <w:widowControl w:val="0"/>
              <w:numPr>
                <w:ilvl w:val="0"/>
                <w:numId w:val="33"/>
              </w:numPr>
              <w:spacing w:before="55"/>
              <w:ind w:right="295"/>
              <w:rPr>
                <w:rFonts w:ascii="Arial" w:hAnsi="Arial" w:cs="Arial"/>
                <w:sz w:val="18"/>
                <w:szCs w:val="18"/>
              </w:rPr>
            </w:pPr>
            <w:r w:rsidRPr="00026495">
              <w:rPr>
                <w:rFonts w:ascii="Arial" w:hAnsi="Arial" w:cs="Arial"/>
                <w:sz w:val="18"/>
                <w:szCs w:val="18"/>
              </w:rPr>
              <w:t xml:space="preserve">Coordinate partner recruitment campaigns and co-branded marketing in line with </w:t>
            </w:r>
            <w:proofErr w:type="gramStart"/>
            <w:r w:rsidRPr="00026495">
              <w:rPr>
                <w:rFonts w:ascii="Arial" w:hAnsi="Arial" w:cs="Arial"/>
                <w:sz w:val="18"/>
                <w:szCs w:val="18"/>
              </w:rPr>
              <w:t>University</w:t>
            </w:r>
            <w:proofErr w:type="gramEnd"/>
            <w:r w:rsidRPr="00026495">
              <w:rPr>
                <w:rFonts w:ascii="Arial" w:hAnsi="Arial" w:cs="Arial"/>
                <w:sz w:val="18"/>
                <w:szCs w:val="18"/>
              </w:rPr>
              <w:t xml:space="preserve"> guidelines and local market regulations.</w:t>
            </w:r>
          </w:p>
          <w:p w14:paraId="38D8B3AF" w14:textId="77777777" w:rsidR="00026495" w:rsidRPr="00026495" w:rsidRDefault="00026495" w:rsidP="00026495">
            <w:pPr>
              <w:widowControl w:val="0"/>
              <w:numPr>
                <w:ilvl w:val="0"/>
                <w:numId w:val="33"/>
              </w:numPr>
              <w:spacing w:before="55"/>
              <w:ind w:right="295"/>
              <w:rPr>
                <w:rFonts w:ascii="Arial" w:hAnsi="Arial" w:cs="Arial"/>
                <w:sz w:val="18"/>
                <w:szCs w:val="18"/>
              </w:rPr>
            </w:pPr>
            <w:r w:rsidRPr="00026495">
              <w:rPr>
                <w:rFonts w:ascii="Arial" w:hAnsi="Arial" w:cs="Arial"/>
                <w:sz w:val="18"/>
                <w:szCs w:val="18"/>
              </w:rPr>
              <w:t>Oversee the Global Partner scheme (frameworks, processes, playbooks and reporting) to ensure consistent standards and partner experience.</w:t>
            </w:r>
          </w:p>
          <w:p w14:paraId="6C72159E" w14:textId="77777777" w:rsidR="00026495" w:rsidRPr="00026495" w:rsidRDefault="00026495" w:rsidP="00026495">
            <w:pPr>
              <w:widowControl w:val="0"/>
              <w:numPr>
                <w:ilvl w:val="0"/>
                <w:numId w:val="33"/>
              </w:numPr>
              <w:spacing w:before="55"/>
              <w:ind w:right="295"/>
              <w:rPr>
                <w:rFonts w:ascii="Arial" w:hAnsi="Arial" w:cs="Arial"/>
                <w:sz w:val="18"/>
                <w:szCs w:val="18"/>
              </w:rPr>
            </w:pPr>
            <w:r w:rsidRPr="00026495">
              <w:rPr>
                <w:rFonts w:ascii="Arial" w:hAnsi="Arial" w:cs="Arial"/>
                <w:sz w:val="18"/>
                <w:szCs w:val="18"/>
              </w:rPr>
              <w:t xml:space="preserve">Develop and maintain performance dashboards covering recruitment, progression, quality outcomes, student </w:t>
            </w:r>
            <w:r w:rsidRPr="00026495">
              <w:rPr>
                <w:rFonts w:ascii="Arial" w:hAnsi="Arial" w:cs="Arial"/>
                <w:sz w:val="18"/>
                <w:szCs w:val="18"/>
              </w:rPr>
              <w:lastRenderedPageBreak/>
              <w:t>experience and commercial performance.</w:t>
            </w:r>
          </w:p>
          <w:p w14:paraId="6FB42E74" w14:textId="77777777" w:rsidR="00026495" w:rsidRPr="00026495" w:rsidRDefault="00026495" w:rsidP="00026495">
            <w:pPr>
              <w:widowControl w:val="0"/>
              <w:spacing w:before="55"/>
              <w:ind w:right="295"/>
              <w:rPr>
                <w:rFonts w:ascii="Arial" w:hAnsi="Arial" w:cs="Arial"/>
                <w:sz w:val="18"/>
                <w:szCs w:val="18"/>
              </w:rPr>
            </w:pPr>
            <w:r w:rsidRPr="00026495">
              <w:rPr>
                <w:rFonts w:ascii="Arial" w:hAnsi="Arial" w:cs="Arial"/>
                <w:b/>
                <w:bCs/>
                <w:sz w:val="18"/>
                <w:szCs w:val="18"/>
              </w:rPr>
              <w:t>Leadership &amp; external representation</w:t>
            </w:r>
          </w:p>
          <w:p w14:paraId="6E67133F" w14:textId="77777777" w:rsidR="00026495" w:rsidRPr="00026495" w:rsidRDefault="00026495" w:rsidP="00026495">
            <w:pPr>
              <w:widowControl w:val="0"/>
              <w:numPr>
                <w:ilvl w:val="0"/>
                <w:numId w:val="34"/>
              </w:numPr>
              <w:spacing w:before="55"/>
              <w:ind w:right="295"/>
              <w:rPr>
                <w:rFonts w:ascii="Arial" w:hAnsi="Arial" w:cs="Arial"/>
                <w:sz w:val="18"/>
                <w:szCs w:val="18"/>
              </w:rPr>
            </w:pPr>
            <w:r w:rsidRPr="00026495">
              <w:rPr>
                <w:rFonts w:ascii="Arial" w:hAnsi="Arial" w:cs="Arial"/>
                <w:sz w:val="18"/>
                <w:szCs w:val="18"/>
              </w:rPr>
              <w:t>Build and steward strategic alliances in Europe, Middle East and Asia; represent the University at senior level in forums, networks and partner meetings; deputise for the Director of TNE (incl. Global Engagement &amp; Partnerships) as required.</w:t>
            </w:r>
          </w:p>
          <w:p w14:paraId="035A4284" w14:textId="77777777" w:rsidR="00026495" w:rsidRPr="00026495" w:rsidRDefault="00026495" w:rsidP="00026495">
            <w:pPr>
              <w:widowControl w:val="0"/>
              <w:numPr>
                <w:ilvl w:val="0"/>
                <w:numId w:val="34"/>
              </w:numPr>
              <w:spacing w:before="55"/>
              <w:ind w:right="295"/>
              <w:rPr>
                <w:rFonts w:ascii="Arial" w:hAnsi="Arial" w:cs="Arial"/>
                <w:sz w:val="18"/>
                <w:szCs w:val="18"/>
              </w:rPr>
            </w:pPr>
            <w:r w:rsidRPr="00026495">
              <w:rPr>
                <w:rFonts w:ascii="Arial" w:hAnsi="Arial" w:cs="Arial"/>
                <w:sz w:val="18"/>
                <w:szCs w:val="18"/>
              </w:rPr>
              <w:t>Develop a strong sector profile for Surrey’s partnership model, sharing leading practice and insights through appropriate platforms and networks.</w:t>
            </w:r>
          </w:p>
          <w:p w14:paraId="38B66159" w14:textId="77777777" w:rsidR="00026495" w:rsidRPr="00026495" w:rsidRDefault="00026495" w:rsidP="00026495">
            <w:pPr>
              <w:widowControl w:val="0"/>
              <w:spacing w:before="55"/>
              <w:ind w:right="295"/>
              <w:rPr>
                <w:rFonts w:ascii="Arial" w:hAnsi="Arial" w:cs="Arial"/>
                <w:sz w:val="18"/>
                <w:szCs w:val="18"/>
              </w:rPr>
            </w:pPr>
            <w:r w:rsidRPr="00026495">
              <w:rPr>
                <w:rFonts w:ascii="Arial" w:hAnsi="Arial" w:cs="Arial"/>
                <w:b/>
                <w:bCs/>
                <w:sz w:val="18"/>
                <w:szCs w:val="18"/>
              </w:rPr>
              <w:t>People, resources &amp; risk</w:t>
            </w:r>
          </w:p>
          <w:p w14:paraId="47C1714B" w14:textId="77777777" w:rsidR="00026495" w:rsidRPr="00026495" w:rsidRDefault="00026495" w:rsidP="00026495">
            <w:pPr>
              <w:widowControl w:val="0"/>
              <w:numPr>
                <w:ilvl w:val="0"/>
                <w:numId w:val="35"/>
              </w:numPr>
              <w:spacing w:before="55"/>
              <w:ind w:right="295"/>
              <w:rPr>
                <w:rFonts w:ascii="Arial" w:hAnsi="Arial" w:cs="Arial"/>
                <w:sz w:val="18"/>
                <w:szCs w:val="18"/>
              </w:rPr>
            </w:pPr>
            <w:r w:rsidRPr="00026495">
              <w:rPr>
                <w:rFonts w:ascii="Arial" w:hAnsi="Arial" w:cs="Arial"/>
                <w:sz w:val="18"/>
                <w:szCs w:val="18"/>
              </w:rPr>
              <w:t>Provide leadership to matrixed project teams; clarify roles, decision rights and escalation paths across professional services and Faculties.</w:t>
            </w:r>
          </w:p>
          <w:p w14:paraId="63241B8B" w14:textId="77777777" w:rsidR="00026495" w:rsidRPr="00026495" w:rsidRDefault="00026495" w:rsidP="00026495">
            <w:pPr>
              <w:widowControl w:val="0"/>
              <w:numPr>
                <w:ilvl w:val="0"/>
                <w:numId w:val="35"/>
              </w:numPr>
              <w:spacing w:before="55"/>
              <w:ind w:right="295"/>
              <w:rPr>
                <w:rFonts w:ascii="Arial" w:hAnsi="Arial" w:cs="Arial"/>
                <w:sz w:val="18"/>
                <w:szCs w:val="18"/>
              </w:rPr>
            </w:pPr>
            <w:r w:rsidRPr="00026495">
              <w:rPr>
                <w:rFonts w:ascii="Arial" w:hAnsi="Arial" w:cs="Arial"/>
                <w:sz w:val="18"/>
                <w:szCs w:val="18"/>
              </w:rPr>
              <w:t>Optimise budgets for due diligence, feasibility, validation and delivery; proactively manage contractual, regulatory and operational risks with clear mitigations.</w:t>
            </w:r>
          </w:p>
          <w:p w14:paraId="7B418067" w14:textId="77777777" w:rsidR="00026495" w:rsidRPr="00026495" w:rsidRDefault="00026495" w:rsidP="00026495">
            <w:pPr>
              <w:widowControl w:val="0"/>
              <w:numPr>
                <w:ilvl w:val="0"/>
                <w:numId w:val="35"/>
              </w:numPr>
              <w:spacing w:before="55"/>
              <w:ind w:right="295"/>
              <w:rPr>
                <w:rFonts w:ascii="Arial" w:hAnsi="Arial" w:cs="Arial"/>
                <w:sz w:val="18"/>
                <w:szCs w:val="18"/>
              </w:rPr>
            </w:pPr>
            <w:r w:rsidRPr="00026495">
              <w:rPr>
                <w:rFonts w:ascii="Arial" w:hAnsi="Arial" w:cs="Arial"/>
                <w:sz w:val="18"/>
                <w:szCs w:val="18"/>
              </w:rPr>
              <w:t>Drive continuous improvement in partnership management, audits and operational processes, using lessons learned and external benchmarks.</w:t>
            </w:r>
          </w:p>
          <w:p w14:paraId="337CD95F" w14:textId="0D33CD2F" w:rsidR="006E6836" w:rsidRPr="004F0938" w:rsidRDefault="004F0938" w:rsidP="004F0938">
            <w:pPr>
              <w:widowControl w:val="0"/>
              <w:spacing w:before="55"/>
              <w:ind w:right="295"/>
              <w:rPr>
                <w:rFonts w:ascii="Arial" w:hAnsi="Arial" w:cs="Arial"/>
                <w:sz w:val="18"/>
                <w:szCs w:val="18"/>
              </w:rPr>
            </w:pPr>
            <w:proofErr w:type="gramStart"/>
            <w:r w:rsidRPr="004F0938">
              <w:rPr>
                <w:rFonts w:ascii="Arial" w:hAnsi="Arial" w:cs="Arial"/>
                <w:sz w:val="18"/>
                <w:szCs w:val="18"/>
              </w:rPr>
              <w:t>.</w:t>
            </w:r>
            <w:r w:rsidR="006E6836" w:rsidRPr="00873498">
              <w:rPr>
                <w:rFonts w:ascii="Arial" w:hAnsi="Arial" w:cs="Arial"/>
                <w:b/>
                <w:sz w:val="20"/>
              </w:rPr>
              <w:t>N.B.</w:t>
            </w:r>
            <w:proofErr w:type="gramEnd"/>
            <w:r w:rsidR="006E6836" w:rsidRPr="00873498">
              <w:rPr>
                <w:rFonts w:ascii="Arial" w:hAnsi="Arial" w:cs="Arial"/>
                <w:b/>
                <w:sz w:val="20"/>
              </w:rPr>
              <w:t xml:space="preserve"> The above list is not exhaustive.</w:t>
            </w:r>
          </w:p>
        </w:tc>
      </w:tr>
      <w:tr w:rsidR="006E6836" w:rsidRPr="00873498" w14:paraId="2B0748FE" w14:textId="77777777" w:rsidTr="00E75F9F">
        <w:trPr>
          <w:trHeight w:val="666"/>
        </w:trPr>
        <w:tc>
          <w:tcPr>
            <w:tcW w:w="5000" w:type="pct"/>
            <w:gridSpan w:val="5"/>
            <w:shd w:val="clear" w:color="auto" w:fill="25384A"/>
          </w:tcPr>
          <w:p w14:paraId="7640B25B" w14:textId="319F1350" w:rsidR="006E6836" w:rsidRPr="00544CD9" w:rsidRDefault="004F0938" w:rsidP="006E6836">
            <w:pPr>
              <w:spacing w:before="60" w:after="60" w:line="240" w:lineRule="exact"/>
              <w:jc w:val="left"/>
              <w:rPr>
                <w:rFonts w:ascii="Arial" w:hAnsi="Arial" w:cs="Arial"/>
                <w:b/>
                <w:sz w:val="16"/>
              </w:rPr>
            </w:pPr>
            <w:r>
              <w:rPr>
                <w:rFonts w:ascii="Arial" w:hAnsi="Arial" w:cs="Arial"/>
                <w:b/>
                <w:sz w:val="20"/>
                <w:u w:val="single"/>
              </w:rPr>
              <w:lastRenderedPageBreak/>
              <w:t xml:space="preserve"> </w:t>
            </w:r>
          </w:p>
        </w:tc>
      </w:tr>
      <w:tr w:rsidR="006E6836" w:rsidRPr="00873498" w14:paraId="11B2462F" w14:textId="77777777" w:rsidTr="00E75F9F">
        <w:trPr>
          <w:trHeight w:val="1340"/>
        </w:trPr>
        <w:tc>
          <w:tcPr>
            <w:tcW w:w="5000" w:type="pct"/>
            <w:gridSpan w:val="5"/>
          </w:tcPr>
          <w:p w14:paraId="7AC04590" w14:textId="4B9D8355" w:rsidR="006E6836" w:rsidRPr="00E91A0B" w:rsidRDefault="006E6836" w:rsidP="006E6836">
            <w:pPr>
              <w:spacing w:before="60" w:after="0"/>
              <w:rPr>
                <w:rFonts w:ascii="Century Gothic" w:eastAsia="Century Gothic" w:hAnsi="Century Gothic" w:cs="Century Gothic"/>
                <w:b/>
                <w:bCs/>
                <w:color w:val="000000"/>
                <w:w w:val="99"/>
                <w:sz w:val="20"/>
              </w:rPr>
            </w:pPr>
            <w:r w:rsidRPr="00E91A0B">
              <w:rPr>
                <w:rFonts w:ascii="Century Gothic" w:eastAsia="Century Gothic" w:hAnsi="Century Gothic" w:cs="Century Gothic"/>
                <w:b/>
                <w:bCs/>
                <w:color w:val="000000"/>
                <w:w w:val="99"/>
                <w:sz w:val="20"/>
              </w:rPr>
              <w:t>Provide a summary of the level of the accountability</w:t>
            </w:r>
            <w:r w:rsidR="00516751" w:rsidRPr="00E91A0B">
              <w:rPr>
                <w:rFonts w:ascii="Century Gothic" w:eastAsia="Century Gothic" w:hAnsi="Century Gothic" w:cs="Century Gothic"/>
                <w:b/>
                <w:bCs/>
                <w:color w:val="000000"/>
                <w:w w:val="99"/>
                <w:sz w:val="20"/>
              </w:rPr>
              <w:t xml:space="preserve"> and </w:t>
            </w:r>
            <w:r w:rsidRPr="00E91A0B">
              <w:rPr>
                <w:rFonts w:ascii="Century Gothic" w:eastAsia="Century Gothic" w:hAnsi="Century Gothic" w:cs="Century Gothic"/>
                <w:b/>
                <w:bCs/>
                <w:color w:val="000000"/>
                <w:w w:val="99"/>
                <w:sz w:val="20"/>
              </w:rPr>
              <w:t>problem-solving</w:t>
            </w:r>
            <w:r w:rsidR="00516751" w:rsidRPr="00E91A0B">
              <w:rPr>
                <w:rFonts w:ascii="Century Gothic" w:eastAsia="Century Gothic" w:hAnsi="Century Gothic" w:cs="Century Gothic"/>
                <w:b/>
                <w:bCs/>
                <w:color w:val="000000"/>
                <w:w w:val="99"/>
                <w:sz w:val="20"/>
              </w:rPr>
              <w:t xml:space="preserve">. </w:t>
            </w:r>
          </w:p>
          <w:p w14:paraId="102539D9" w14:textId="7E2A372B" w:rsidR="006E6836" w:rsidRPr="00BF6FA8" w:rsidRDefault="006E6836" w:rsidP="006E6836">
            <w:pPr>
              <w:spacing w:before="60" w:after="0"/>
              <w:rPr>
                <w:rFonts w:ascii="Arial" w:hAnsi="Arial" w:cs="Arial"/>
                <w:i/>
                <w:iCs/>
                <w:sz w:val="16"/>
                <w:szCs w:val="16"/>
              </w:rPr>
            </w:pPr>
          </w:p>
          <w:p w14:paraId="7E3F5421" w14:textId="77777777" w:rsidR="00026495" w:rsidRPr="00026495" w:rsidRDefault="00026495" w:rsidP="00026495">
            <w:pPr>
              <w:widowControl w:val="0"/>
              <w:spacing w:line="236" w:lineRule="auto"/>
              <w:ind w:right="-19"/>
              <w:rPr>
                <w:rFonts w:ascii="Arial" w:hAnsi="Arial" w:cs="Arial"/>
                <w:sz w:val="20"/>
              </w:rPr>
            </w:pPr>
            <w:r w:rsidRPr="009E6061">
              <w:rPr>
                <w:rFonts w:ascii="Arial" w:hAnsi="Arial" w:cs="Arial"/>
                <w:b/>
                <w:bCs/>
                <w:sz w:val="20"/>
              </w:rPr>
              <w:t>Accountability</w:t>
            </w:r>
            <w:r w:rsidRPr="009E6061">
              <w:rPr>
                <w:rFonts w:ascii="Arial" w:hAnsi="Arial" w:cs="Arial"/>
                <w:sz w:val="20"/>
              </w:rPr>
              <w:t xml:space="preserve"> — Operates with substantial strategic autonomy to prioritise opportunities and allocate resources to maximise institutional impact (academic quality, student outcomes and commercial returns), within frameworks agreed with the </w:t>
            </w:r>
            <w:r w:rsidRPr="009E6061">
              <w:rPr>
                <w:rFonts w:ascii="Arial" w:hAnsi="Arial" w:cs="Arial"/>
                <w:b/>
                <w:bCs/>
                <w:sz w:val="20"/>
              </w:rPr>
              <w:t>Director of TNE (incl. Global Engagement &amp; Partnerships)</w:t>
            </w:r>
            <w:r w:rsidRPr="009E6061">
              <w:rPr>
                <w:rFonts w:ascii="Arial" w:hAnsi="Arial" w:cs="Arial"/>
                <w:sz w:val="20"/>
              </w:rPr>
              <w:t>.</w:t>
            </w:r>
          </w:p>
          <w:p w14:paraId="5E8B6F5F" w14:textId="77777777" w:rsidR="00026495" w:rsidRPr="00026495" w:rsidRDefault="00026495" w:rsidP="00026495">
            <w:pPr>
              <w:widowControl w:val="0"/>
              <w:spacing w:line="236" w:lineRule="auto"/>
              <w:ind w:right="-19"/>
              <w:rPr>
                <w:rFonts w:ascii="Arial" w:hAnsi="Arial" w:cs="Arial"/>
                <w:sz w:val="20"/>
              </w:rPr>
            </w:pPr>
            <w:r w:rsidRPr="00026495">
              <w:rPr>
                <w:rFonts w:ascii="Arial" w:hAnsi="Arial" w:cs="Arial"/>
                <w:b/>
                <w:bCs/>
                <w:sz w:val="20"/>
              </w:rPr>
              <w:t>Problem-solving</w:t>
            </w:r>
            <w:r w:rsidRPr="00026495">
              <w:rPr>
                <w:rFonts w:ascii="Arial" w:hAnsi="Arial" w:cs="Arial"/>
                <w:sz w:val="20"/>
              </w:rPr>
              <w:t> — Addresses complex, multi-stakeholder problems spanning regulatory compliance, academic governance, commercial viability and operational delivery across jurisdictions; sets options and recommendations, escalating only when decision rights or risk thresholds require.</w:t>
            </w:r>
          </w:p>
          <w:p w14:paraId="5BEC4224" w14:textId="2FC54986" w:rsidR="00E91A0B" w:rsidRPr="00A14C2A" w:rsidRDefault="00E91A0B" w:rsidP="00026495">
            <w:pPr>
              <w:widowControl w:val="0"/>
              <w:spacing w:line="236" w:lineRule="auto"/>
              <w:ind w:right="-19"/>
              <w:rPr>
                <w:rFonts w:ascii="Arial" w:hAnsi="Arial" w:cs="Arial"/>
                <w:sz w:val="20"/>
              </w:rPr>
            </w:pPr>
          </w:p>
        </w:tc>
      </w:tr>
      <w:tr w:rsidR="006E6836" w:rsidRPr="00873498" w14:paraId="77D5FB9B" w14:textId="77777777" w:rsidTr="00E75F9F">
        <w:trPr>
          <w:trHeight w:val="1340"/>
        </w:trPr>
        <w:tc>
          <w:tcPr>
            <w:tcW w:w="5000" w:type="pct"/>
            <w:gridSpan w:val="5"/>
          </w:tcPr>
          <w:p w14:paraId="7F3B2A26" w14:textId="7E5F0002" w:rsidR="006E6836" w:rsidRPr="00A14C2A" w:rsidRDefault="006E6836" w:rsidP="006E6836">
            <w:pPr>
              <w:autoSpaceDE w:val="0"/>
              <w:autoSpaceDN w:val="0"/>
              <w:adjustRightInd w:val="0"/>
              <w:spacing w:after="0"/>
              <w:rPr>
                <w:rFonts w:ascii="Arial" w:hAnsi="Arial" w:cs="Arial"/>
                <w:iCs/>
                <w:sz w:val="16"/>
                <w:szCs w:val="16"/>
              </w:rPr>
            </w:pPr>
            <w:r w:rsidRPr="00873498">
              <w:rPr>
                <w:rFonts w:ascii="Arial" w:hAnsi="Arial" w:cs="Arial"/>
                <w:b/>
                <w:sz w:val="20"/>
                <w:u w:val="single"/>
              </w:rPr>
              <w:t xml:space="preserve">Supplementary Information </w:t>
            </w:r>
          </w:p>
          <w:p w14:paraId="2A31D09F" w14:textId="77777777" w:rsidR="00A14C2A" w:rsidRDefault="00A14C2A" w:rsidP="00FC0169">
            <w:pPr>
              <w:pStyle w:val="ListParagraph"/>
              <w:ind w:left="284"/>
              <w:rPr>
                <w:rFonts w:ascii="Arial" w:hAnsi="Arial" w:cs="Arial"/>
                <w:i/>
                <w:iCs/>
                <w:sz w:val="20"/>
              </w:rPr>
            </w:pPr>
          </w:p>
          <w:p w14:paraId="482906F3" w14:textId="77777777" w:rsidR="00026495" w:rsidRPr="00026495" w:rsidRDefault="00026495" w:rsidP="00026495">
            <w:pPr>
              <w:pStyle w:val="ListParagraph"/>
              <w:numPr>
                <w:ilvl w:val="0"/>
                <w:numId w:val="18"/>
              </w:numPr>
              <w:ind w:left="284" w:hanging="284"/>
              <w:rPr>
                <w:rFonts w:ascii="Frutiger LT Std 45 Light" w:hAnsi="Frutiger LT Std 45 Light" w:cs="Arial"/>
                <w:sz w:val="20"/>
              </w:rPr>
            </w:pPr>
            <w:r w:rsidRPr="00026495">
              <w:rPr>
                <w:rFonts w:ascii="Frutiger LT Std 45 Light" w:hAnsi="Frutiger LT Std 45 Light" w:cs="Arial"/>
                <w:sz w:val="20"/>
              </w:rPr>
              <w:t xml:space="preserve">Works extensively across Faculties and professional services to align curricula, QA and student support for international </w:t>
            </w:r>
            <w:proofErr w:type="gramStart"/>
            <w:r w:rsidRPr="00026495">
              <w:rPr>
                <w:rFonts w:ascii="Frutiger LT Std 45 Light" w:hAnsi="Frutiger LT Std 45 Light" w:cs="Arial"/>
                <w:sz w:val="20"/>
              </w:rPr>
              <w:t>delivery;</w:t>
            </w:r>
            <w:proofErr w:type="gramEnd"/>
            <w:r w:rsidRPr="00026495">
              <w:rPr>
                <w:rFonts w:ascii="Frutiger LT Std 45 Light" w:hAnsi="Frutiger LT Std 45 Light" w:cs="Arial"/>
                <w:sz w:val="20"/>
              </w:rPr>
              <w:t xml:space="preserve"> influences colleagues beyond direct line management.</w:t>
            </w:r>
          </w:p>
          <w:p w14:paraId="68FC6886" w14:textId="77777777" w:rsidR="00026495" w:rsidRPr="00026495" w:rsidRDefault="00026495" w:rsidP="00026495">
            <w:pPr>
              <w:pStyle w:val="ListParagraph"/>
              <w:numPr>
                <w:ilvl w:val="0"/>
                <w:numId w:val="18"/>
              </w:numPr>
              <w:ind w:left="284" w:hanging="284"/>
              <w:rPr>
                <w:rFonts w:ascii="Frutiger LT Std 45 Light" w:hAnsi="Frutiger LT Std 45 Light" w:cs="Arial"/>
                <w:sz w:val="20"/>
              </w:rPr>
            </w:pPr>
            <w:r w:rsidRPr="00026495">
              <w:rPr>
                <w:rFonts w:ascii="Frutiger LT Std 45 Light" w:hAnsi="Frutiger LT Std 45 Light" w:cs="Arial"/>
                <w:sz w:val="20"/>
              </w:rPr>
              <w:t>Maintains a strong external network (partner institutions, regulators, agencies, sector bodies) to inform market entry, compliance and good practice.</w:t>
            </w:r>
          </w:p>
          <w:p w14:paraId="3642CB20" w14:textId="77777777" w:rsidR="00026495" w:rsidRPr="00026495" w:rsidRDefault="00026495" w:rsidP="00026495">
            <w:pPr>
              <w:pStyle w:val="ListParagraph"/>
              <w:numPr>
                <w:ilvl w:val="0"/>
                <w:numId w:val="18"/>
              </w:numPr>
              <w:ind w:left="284" w:hanging="284"/>
              <w:rPr>
                <w:rFonts w:ascii="Frutiger LT Std 45 Light" w:hAnsi="Frutiger LT Std 45 Light" w:cs="Arial"/>
                <w:sz w:val="20"/>
              </w:rPr>
            </w:pPr>
            <w:r w:rsidRPr="00026495">
              <w:rPr>
                <w:rFonts w:ascii="Frutiger LT Std 45 Light" w:hAnsi="Frutiger LT Std 45 Light" w:cs="Arial"/>
                <w:sz w:val="20"/>
              </w:rPr>
              <w:t>Role requires international travel and occasional out-of-hours commitments aligned to partner time zones.</w:t>
            </w:r>
          </w:p>
          <w:p w14:paraId="3B775A6D" w14:textId="77777777" w:rsidR="00026495" w:rsidRPr="00026495" w:rsidRDefault="00026495" w:rsidP="00026495">
            <w:pPr>
              <w:rPr>
                <w:rFonts w:ascii="Frutiger LT Std 45 Light" w:hAnsi="Frutiger LT Std 45 Light" w:cs="Arial"/>
                <w:sz w:val="20"/>
              </w:rPr>
            </w:pPr>
            <w:r w:rsidRPr="00026495">
              <w:rPr>
                <w:rFonts w:ascii="Frutiger LT Std 45 Light" w:hAnsi="Frutiger LT Std 45 Light" w:cs="Arial"/>
                <w:b/>
                <w:bCs/>
                <w:sz w:val="20"/>
              </w:rPr>
              <w:t>Targets / KPIs</w:t>
            </w:r>
          </w:p>
          <w:p w14:paraId="6CD4CC3B" w14:textId="77777777" w:rsidR="00026495" w:rsidRPr="00026495" w:rsidRDefault="00026495" w:rsidP="00026495">
            <w:pPr>
              <w:pStyle w:val="ListParagraph"/>
              <w:numPr>
                <w:ilvl w:val="0"/>
                <w:numId w:val="18"/>
              </w:numPr>
              <w:ind w:left="284" w:hanging="284"/>
              <w:rPr>
                <w:rFonts w:ascii="Frutiger LT Std 45 Light" w:hAnsi="Frutiger LT Std 45 Light" w:cs="Arial"/>
                <w:sz w:val="20"/>
              </w:rPr>
            </w:pPr>
            <w:r w:rsidRPr="00026495">
              <w:rPr>
                <w:rFonts w:ascii="Frutiger LT Std 45 Light" w:hAnsi="Frutiger LT Std 45 Light" w:cs="Arial"/>
                <w:sz w:val="20"/>
              </w:rPr>
              <w:t>Deliver approved annual income and contribution targets for designated partnerships/regions and the international (including online/blended) portfolio.</w:t>
            </w:r>
          </w:p>
          <w:p w14:paraId="3AABDBF6" w14:textId="77777777" w:rsidR="00026495" w:rsidRPr="00026495" w:rsidRDefault="00026495" w:rsidP="00026495">
            <w:pPr>
              <w:pStyle w:val="ListParagraph"/>
              <w:numPr>
                <w:ilvl w:val="0"/>
                <w:numId w:val="18"/>
              </w:numPr>
              <w:ind w:left="284" w:hanging="284"/>
              <w:rPr>
                <w:rFonts w:ascii="Frutiger LT Std 45 Light" w:hAnsi="Frutiger LT Std 45 Light" w:cs="Arial"/>
                <w:sz w:val="20"/>
              </w:rPr>
            </w:pPr>
            <w:r w:rsidRPr="00026495">
              <w:rPr>
                <w:rFonts w:ascii="Frutiger LT Std 45 Light" w:hAnsi="Frutiger LT Std 45 Light" w:cs="Arial"/>
                <w:sz w:val="20"/>
              </w:rPr>
              <w:t>Meet quality and compliance thresholds: partner validation success, audit outcomes, student satisfaction/experience measures, and academic progression/attainment benchmarks.</w:t>
            </w:r>
          </w:p>
          <w:p w14:paraId="6E222ED3" w14:textId="77777777" w:rsidR="00026495" w:rsidRPr="00026495" w:rsidRDefault="00026495" w:rsidP="00026495">
            <w:pPr>
              <w:pStyle w:val="ListParagraph"/>
              <w:numPr>
                <w:ilvl w:val="0"/>
                <w:numId w:val="18"/>
              </w:numPr>
              <w:ind w:left="284" w:hanging="284"/>
              <w:rPr>
                <w:rFonts w:ascii="Frutiger LT Std 45 Light" w:hAnsi="Frutiger LT Std 45 Light" w:cs="Arial"/>
                <w:sz w:val="20"/>
              </w:rPr>
            </w:pPr>
            <w:r w:rsidRPr="00026495">
              <w:rPr>
                <w:rFonts w:ascii="Frutiger LT Std 45 Light" w:hAnsi="Frutiger LT Std 45 Light" w:cs="Arial"/>
                <w:sz w:val="20"/>
              </w:rPr>
              <w:t>Achieve agreed milestones for market entries, academic programme launches and Global Partner scheme.</w:t>
            </w:r>
          </w:p>
          <w:p w14:paraId="306B5947" w14:textId="77777777" w:rsidR="00026495" w:rsidRPr="00026495" w:rsidRDefault="00026495" w:rsidP="00026495">
            <w:pPr>
              <w:pStyle w:val="ListParagraph"/>
              <w:numPr>
                <w:ilvl w:val="0"/>
                <w:numId w:val="18"/>
              </w:numPr>
              <w:ind w:left="284" w:hanging="284"/>
              <w:rPr>
                <w:rFonts w:ascii="Frutiger LT Std 45 Light" w:hAnsi="Frutiger LT Std 45 Light" w:cs="Arial"/>
                <w:sz w:val="20"/>
              </w:rPr>
            </w:pPr>
            <w:r w:rsidRPr="00026495">
              <w:rPr>
                <w:rFonts w:ascii="Frutiger LT Std 45 Light" w:hAnsi="Frutiger LT Std 45 Light" w:cs="Arial"/>
                <w:sz w:val="20"/>
              </w:rPr>
              <w:t>Meet recruitment and progression KPIs for each live partnership, within student number controls where applicable.</w:t>
            </w:r>
          </w:p>
          <w:p w14:paraId="214CBFC1" w14:textId="77777777" w:rsidR="00026495" w:rsidRPr="00026495" w:rsidRDefault="00026495" w:rsidP="00026495">
            <w:pPr>
              <w:pStyle w:val="ListParagraph"/>
              <w:numPr>
                <w:ilvl w:val="0"/>
                <w:numId w:val="18"/>
              </w:numPr>
              <w:ind w:left="284" w:hanging="284"/>
              <w:rPr>
                <w:rFonts w:ascii="Frutiger LT Std 45 Light" w:hAnsi="Frutiger LT Std 45 Light" w:cs="Arial"/>
                <w:sz w:val="20"/>
              </w:rPr>
            </w:pPr>
            <w:r w:rsidRPr="00026495">
              <w:rPr>
                <w:rFonts w:ascii="Frutiger LT Std 45 Light" w:hAnsi="Frutiger LT Std 45 Light" w:cs="Arial"/>
                <w:sz w:val="20"/>
              </w:rPr>
              <w:t>Evidence continuous improvement through partner health-checks and post-launch reviews.</w:t>
            </w:r>
          </w:p>
          <w:p w14:paraId="2094643B" w14:textId="644BBBE8" w:rsidR="00026495" w:rsidRPr="00A14C2A" w:rsidRDefault="00026495" w:rsidP="00670881">
            <w:pPr>
              <w:pStyle w:val="ListParagraph"/>
              <w:ind w:left="284"/>
              <w:rPr>
                <w:rFonts w:ascii="Arial" w:hAnsi="Arial" w:cs="Arial"/>
                <w:sz w:val="20"/>
              </w:rPr>
            </w:pPr>
          </w:p>
        </w:tc>
      </w:tr>
      <w:tr w:rsidR="006E6836" w:rsidRPr="00873498" w14:paraId="2A820304" w14:textId="77777777" w:rsidTr="00E75F9F">
        <w:tblPrEx>
          <w:tblLook w:val="01E0" w:firstRow="1" w:lastRow="1" w:firstColumn="1" w:lastColumn="1" w:noHBand="0" w:noVBand="0"/>
        </w:tblPrEx>
        <w:trPr>
          <w:trHeight w:val="535"/>
        </w:trPr>
        <w:tc>
          <w:tcPr>
            <w:tcW w:w="5000" w:type="pct"/>
            <w:gridSpan w:val="5"/>
            <w:shd w:val="clear" w:color="auto" w:fill="25384A"/>
          </w:tcPr>
          <w:p w14:paraId="672250C8" w14:textId="3E1D3EC1" w:rsidR="006E6836" w:rsidRPr="00873498" w:rsidRDefault="006E6836" w:rsidP="006E6836">
            <w:pPr>
              <w:spacing w:before="120" w:after="120" w:line="240" w:lineRule="exact"/>
              <w:jc w:val="left"/>
              <w:rPr>
                <w:rFonts w:ascii="Arial" w:hAnsi="Arial" w:cs="Arial"/>
                <w:b/>
                <w:sz w:val="20"/>
              </w:rPr>
            </w:pPr>
            <w:r w:rsidRPr="00873498">
              <w:rPr>
                <w:rFonts w:ascii="Arial" w:hAnsi="Arial" w:cs="Arial"/>
                <w:b/>
                <w:sz w:val="20"/>
              </w:rPr>
              <w:t xml:space="preserve">Person Specification </w:t>
            </w:r>
            <w:r w:rsidRPr="00873498">
              <w:rPr>
                <w:rFonts w:ascii="Arial" w:hAnsi="Arial" w:cs="Arial"/>
                <w:sz w:val="16"/>
                <w:szCs w:val="16"/>
              </w:rPr>
              <w:t>This section describes the knowledge, experience &amp; competence required by the post holder that is necessary for standard acceptable performance in carrying out this role.</w:t>
            </w:r>
          </w:p>
        </w:tc>
      </w:tr>
      <w:tr w:rsidR="006E6836" w:rsidRPr="00873498" w14:paraId="5DB6D814" w14:textId="77777777" w:rsidTr="00E75F9F">
        <w:tblPrEx>
          <w:tblLook w:val="01E0" w:firstRow="1" w:lastRow="1" w:firstColumn="1" w:lastColumn="1" w:noHBand="0" w:noVBand="0"/>
        </w:tblPrEx>
        <w:trPr>
          <w:trHeight w:val="203"/>
        </w:trPr>
        <w:tc>
          <w:tcPr>
            <w:tcW w:w="4424" w:type="pct"/>
            <w:gridSpan w:val="4"/>
          </w:tcPr>
          <w:p w14:paraId="58BA7BAE" w14:textId="77777777" w:rsidR="006E6836" w:rsidRPr="00873498" w:rsidRDefault="006E6836" w:rsidP="006E6836">
            <w:pPr>
              <w:spacing w:before="120" w:after="120" w:line="240" w:lineRule="exact"/>
              <w:rPr>
                <w:rFonts w:ascii="Arial" w:hAnsi="Arial" w:cs="Arial"/>
                <w:b/>
                <w:sz w:val="20"/>
              </w:rPr>
            </w:pPr>
            <w:r w:rsidRPr="00873498">
              <w:rPr>
                <w:rFonts w:ascii="Arial" w:hAnsi="Arial" w:cs="Arial"/>
                <w:b/>
                <w:sz w:val="20"/>
              </w:rPr>
              <w:t>Qualifications and Professional Memberships</w:t>
            </w:r>
          </w:p>
        </w:tc>
        <w:tc>
          <w:tcPr>
            <w:tcW w:w="576" w:type="pct"/>
          </w:tcPr>
          <w:p w14:paraId="0527AA24" w14:textId="77777777" w:rsidR="006E6836" w:rsidRPr="00873498" w:rsidRDefault="006E6836" w:rsidP="006E6836">
            <w:pPr>
              <w:spacing w:before="120" w:after="120" w:line="240" w:lineRule="exact"/>
              <w:jc w:val="center"/>
              <w:rPr>
                <w:rFonts w:ascii="Arial" w:hAnsi="Arial" w:cs="Arial"/>
                <w:b/>
                <w:sz w:val="20"/>
              </w:rPr>
            </w:pPr>
          </w:p>
        </w:tc>
      </w:tr>
      <w:tr w:rsidR="00670881" w:rsidRPr="00873498" w14:paraId="63B219AE" w14:textId="77777777" w:rsidTr="00E75F9F">
        <w:tblPrEx>
          <w:tblLook w:val="01E0" w:firstRow="1" w:lastRow="1" w:firstColumn="1" w:lastColumn="1" w:noHBand="0" w:noVBand="0"/>
        </w:tblPrEx>
        <w:tc>
          <w:tcPr>
            <w:tcW w:w="4424" w:type="pct"/>
            <w:gridSpan w:val="4"/>
          </w:tcPr>
          <w:p w14:paraId="5C9D54C2" w14:textId="77777777" w:rsidR="00670881" w:rsidRPr="00F45DF5" w:rsidRDefault="00670881" w:rsidP="00670881">
            <w:pPr>
              <w:spacing w:before="60" w:after="60" w:line="240" w:lineRule="exact"/>
              <w:rPr>
                <w:rFonts w:ascii="Frutiger LT Std 45 Light" w:hAnsi="Frutiger LT Std 45 Light" w:cs="Arial"/>
                <w:color w:val="000000" w:themeColor="text1"/>
                <w:sz w:val="20"/>
              </w:rPr>
            </w:pPr>
            <w:r w:rsidRPr="00F45DF5">
              <w:rPr>
                <w:rFonts w:ascii="Frutiger LT Std 45 Light" w:hAnsi="Frutiger LT Std 45 Light" w:cs="Arial"/>
                <w:color w:val="000000" w:themeColor="text1"/>
                <w:sz w:val="20"/>
              </w:rPr>
              <w:lastRenderedPageBreak/>
              <w:t xml:space="preserve">Professionally qualified with a relevant degree/postgraduate qualification, plus a significant number of years' relevant leadership experience, or substantial experience and proven success in a strategically important broad function/specialist area. </w:t>
            </w:r>
          </w:p>
          <w:p w14:paraId="1AC974AA" w14:textId="77777777" w:rsidR="00670881" w:rsidRPr="00F45DF5" w:rsidRDefault="00670881" w:rsidP="00670881">
            <w:pPr>
              <w:spacing w:before="60" w:after="60" w:line="240" w:lineRule="exact"/>
              <w:rPr>
                <w:rFonts w:ascii="Frutiger LT Std 45 Light" w:hAnsi="Frutiger LT Std 45 Light" w:cs="Arial"/>
                <w:color w:val="000000" w:themeColor="text1"/>
                <w:sz w:val="20"/>
              </w:rPr>
            </w:pPr>
          </w:p>
          <w:p w14:paraId="3D8D5D99" w14:textId="77777777" w:rsidR="00670881" w:rsidRPr="00F45DF5" w:rsidRDefault="00670881" w:rsidP="00670881">
            <w:pPr>
              <w:spacing w:before="60" w:after="60" w:line="240" w:lineRule="exact"/>
              <w:rPr>
                <w:rFonts w:ascii="Frutiger LT Std 45 Light" w:hAnsi="Frutiger LT Std 45 Light" w:cs="Arial"/>
                <w:color w:val="000000" w:themeColor="text1"/>
                <w:sz w:val="20"/>
              </w:rPr>
            </w:pPr>
            <w:r w:rsidRPr="00F45DF5">
              <w:rPr>
                <w:rFonts w:ascii="Frutiger LT Std 45 Light" w:hAnsi="Frutiger LT Std 45 Light" w:cs="Arial"/>
                <w:color w:val="000000" w:themeColor="text1"/>
                <w:sz w:val="20"/>
              </w:rPr>
              <w:t xml:space="preserve">Or: </w:t>
            </w:r>
          </w:p>
          <w:p w14:paraId="734C8721" w14:textId="77777777" w:rsidR="00670881" w:rsidRPr="0077584F" w:rsidRDefault="00670881" w:rsidP="00670881">
            <w:pPr>
              <w:spacing w:before="60" w:after="60" w:line="240" w:lineRule="exact"/>
              <w:rPr>
                <w:rFonts w:ascii="Arial" w:hAnsi="Arial" w:cs="Arial"/>
                <w:sz w:val="20"/>
              </w:rPr>
            </w:pPr>
          </w:p>
          <w:p w14:paraId="4A8C6F86" w14:textId="59E8E0F1" w:rsidR="00670881" w:rsidRPr="00873498" w:rsidRDefault="00670881" w:rsidP="00670881">
            <w:pPr>
              <w:spacing w:before="60" w:after="60" w:line="240" w:lineRule="exact"/>
              <w:rPr>
                <w:rFonts w:ascii="Arial" w:hAnsi="Arial" w:cs="Arial"/>
                <w:sz w:val="20"/>
              </w:rPr>
            </w:pPr>
            <w:r w:rsidRPr="00040DA7">
              <w:rPr>
                <w:rFonts w:ascii="Frutiger LT Std 45 Light" w:hAnsi="Frutiger LT Std 45 Light" w:cs="Arial"/>
                <w:color w:val="000000" w:themeColor="text1"/>
                <w:sz w:val="20"/>
              </w:rPr>
              <w:t>Substantial and extensive vocational experience demonstrating professional development and achievement in a series of progressively more demanding, influential and broad work roles, backed by evidence of deep and broad knowledge of the whole functional work area.</w:t>
            </w:r>
          </w:p>
        </w:tc>
        <w:tc>
          <w:tcPr>
            <w:tcW w:w="576" w:type="pct"/>
          </w:tcPr>
          <w:p w14:paraId="089F55FA" w14:textId="3D9D3114" w:rsidR="00670881" w:rsidRPr="00670881" w:rsidRDefault="00670881" w:rsidP="00670881">
            <w:pPr>
              <w:spacing w:before="60" w:after="60" w:line="240" w:lineRule="exact"/>
              <w:jc w:val="center"/>
              <w:rPr>
                <w:rFonts w:ascii="Frutiger LT Std 45 Light" w:hAnsi="Frutiger LT Std 45 Light" w:cs="Arial"/>
                <w:color w:val="000000" w:themeColor="text1"/>
                <w:sz w:val="20"/>
              </w:rPr>
            </w:pPr>
            <w:r w:rsidRPr="00670881">
              <w:rPr>
                <w:rFonts w:ascii="Frutiger LT Std 45 Light" w:hAnsi="Frutiger LT Std 45 Light" w:cs="Arial"/>
                <w:color w:val="000000" w:themeColor="text1"/>
                <w:sz w:val="20"/>
              </w:rPr>
              <w:t>E</w:t>
            </w:r>
          </w:p>
        </w:tc>
      </w:tr>
      <w:tr w:rsidR="00670881" w:rsidRPr="00873498" w14:paraId="475D5640" w14:textId="77777777" w:rsidTr="00670881">
        <w:tblPrEx>
          <w:tblLook w:val="01E0" w:firstRow="1" w:lastRow="1" w:firstColumn="1" w:lastColumn="1" w:noHBand="0" w:noVBand="0"/>
        </w:tblPrEx>
        <w:tc>
          <w:tcPr>
            <w:tcW w:w="3186" w:type="pct"/>
            <w:gridSpan w:val="3"/>
          </w:tcPr>
          <w:p w14:paraId="69A05E61" w14:textId="1D903CBF" w:rsidR="00670881" w:rsidRDefault="00670881" w:rsidP="00670881">
            <w:pPr>
              <w:spacing w:after="0"/>
              <w:rPr>
                <w:rFonts w:ascii="Arial" w:hAnsi="Arial" w:cs="Arial"/>
                <w:color w:val="17365D" w:themeColor="text2" w:themeShade="BF"/>
                <w:sz w:val="16"/>
                <w:szCs w:val="16"/>
              </w:rPr>
            </w:pPr>
            <w:r w:rsidRPr="00873498">
              <w:rPr>
                <w:rFonts w:ascii="Arial" w:hAnsi="Arial" w:cs="Arial"/>
              </w:rPr>
              <w:br w:type="page"/>
            </w:r>
            <w:r w:rsidRPr="00873498">
              <w:rPr>
                <w:rFonts w:ascii="Arial" w:hAnsi="Arial" w:cs="Arial"/>
              </w:rPr>
              <w:br w:type="page"/>
            </w:r>
            <w:r w:rsidRPr="00873498">
              <w:rPr>
                <w:rFonts w:ascii="Arial" w:hAnsi="Arial" w:cs="Arial"/>
              </w:rPr>
              <w:br w:type="page"/>
            </w:r>
            <w:r w:rsidRPr="00873498">
              <w:rPr>
                <w:rFonts w:ascii="Arial" w:hAnsi="Arial" w:cs="Arial"/>
                <w:b/>
                <w:sz w:val="20"/>
              </w:rPr>
              <w:t xml:space="preserve">Technical Competencies (Experience and Knowledge) </w:t>
            </w:r>
          </w:p>
          <w:p w14:paraId="537CE5C5" w14:textId="396B6F7A" w:rsidR="00670881" w:rsidRPr="002C2169" w:rsidRDefault="00670881" w:rsidP="00670881">
            <w:pPr>
              <w:spacing w:after="0"/>
              <w:rPr>
                <w:rFonts w:ascii="Arial" w:hAnsi="Arial" w:cs="Arial"/>
                <w:color w:val="17365D" w:themeColor="text2" w:themeShade="BF"/>
                <w:sz w:val="16"/>
                <w:szCs w:val="16"/>
              </w:rPr>
            </w:pPr>
            <w:r w:rsidRPr="002C2169">
              <w:rPr>
                <w:rFonts w:ascii="Arial" w:hAnsi="Arial" w:cs="Arial"/>
                <w:color w:val="17365D" w:themeColor="text2" w:themeShade="BF"/>
                <w:sz w:val="16"/>
                <w:szCs w:val="16"/>
              </w:rPr>
              <w:t>Level 1: basic level of understanding/experience and can apply it with guidance.</w:t>
            </w:r>
          </w:p>
          <w:p w14:paraId="7EC09971" w14:textId="77777777" w:rsidR="00670881" w:rsidRPr="002C2169" w:rsidRDefault="00670881" w:rsidP="00670881">
            <w:pPr>
              <w:spacing w:after="0"/>
              <w:rPr>
                <w:rFonts w:ascii="Arial" w:hAnsi="Arial" w:cs="Arial"/>
                <w:color w:val="17365D" w:themeColor="text2" w:themeShade="BF"/>
                <w:sz w:val="16"/>
                <w:szCs w:val="16"/>
              </w:rPr>
            </w:pPr>
            <w:r w:rsidRPr="002C2169">
              <w:rPr>
                <w:rFonts w:ascii="Arial" w:hAnsi="Arial" w:cs="Arial"/>
                <w:color w:val="17365D" w:themeColor="text2" w:themeShade="BF"/>
                <w:sz w:val="16"/>
                <w:szCs w:val="16"/>
              </w:rPr>
              <w:t>Level 2: good level of understanding/experience and can apply it with little or no guidance.</w:t>
            </w:r>
          </w:p>
          <w:p w14:paraId="16C93FE1" w14:textId="04CA781A" w:rsidR="00670881" w:rsidRPr="00BF6FA8" w:rsidRDefault="00670881" w:rsidP="00670881">
            <w:pPr>
              <w:spacing w:after="0"/>
              <w:rPr>
                <w:rFonts w:ascii="Arial" w:hAnsi="Arial" w:cs="Arial"/>
                <w:color w:val="17365D" w:themeColor="text2" w:themeShade="BF"/>
                <w:sz w:val="16"/>
                <w:szCs w:val="16"/>
              </w:rPr>
            </w:pPr>
            <w:r w:rsidRPr="002C2169">
              <w:rPr>
                <w:rFonts w:ascii="Arial" w:hAnsi="Arial" w:cs="Arial"/>
                <w:color w:val="17365D" w:themeColor="text2" w:themeShade="BF"/>
                <w:sz w:val="16"/>
                <w:szCs w:val="16"/>
              </w:rPr>
              <w:t>Level 3: expert level of understanding/experience and can apply, develop it and guide others.</w:t>
            </w:r>
          </w:p>
        </w:tc>
        <w:tc>
          <w:tcPr>
            <w:tcW w:w="1238" w:type="pct"/>
          </w:tcPr>
          <w:p w14:paraId="41A45868" w14:textId="77777777" w:rsidR="00670881" w:rsidRPr="00873498" w:rsidRDefault="00670881" w:rsidP="00670881">
            <w:pPr>
              <w:spacing w:before="120" w:after="120" w:line="240" w:lineRule="exact"/>
              <w:jc w:val="center"/>
              <w:rPr>
                <w:rFonts w:ascii="Arial" w:hAnsi="Arial" w:cs="Arial"/>
                <w:b/>
                <w:sz w:val="20"/>
              </w:rPr>
            </w:pPr>
            <w:r w:rsidRPr="00873498">
              <w:rPr>
                <w:rFonts w:ascii="Arial" w:hAnsi="Arial" w:cs="Arial"/>
                <w:b/>
                <w:sz w:val="20"/>
              </w:rPr>
              <w:t>Essential/</w:t>
            </w:r>
            <w:r w:rsidRPr="00873498">
              <w:rPr>
                <w:rFonts w:ascii="Arial" w:hAnsi="Arial" w:cs="Arial"/>
                <w:b/>
                <w:sz w:val="20"/>
              </w:rPr>
              <w:br/>
              <w:t>Desirable</w:t>
            </w:r>
          </w:p>
        </w:tc>
        <w:tc>
          <w:tcPr>
            <w:tcW w:w="576" w:type="pct"/>
          </w:tcPr>
          <w:p w14:paraId="58E05410" w14:textId="77777777" w:rsidR="00670881" w:rsidRPr="00873498" w:rsidRDefault="00670881" w:rsidP="00670881">
            <w:pPr>
              <w:spacing w:before="120" w:after="0" w:line="240" w:lineRule="exact"/>
              <w:jc w:val="center"/>
              <w:rPr>
                <w:rFonts w:ascii="Arial" w:hAnsi="Arial" w:cs="Arial"/>
                <w:b/>
                <w:sz w:val="20"/>
              </w:rPr>
            </w:pPr>
            <w:r w:rsidRPr="00873498">
              <w:rPr>
                <w:rFonts w:ascii="Arial" w:hAnsi="Arial" w:cs="Arial"/>
                <w:b/>
                <w:sz w:val="20"/>
              </w:rPr>
              <w:t>Level</w:t>
            </w:r>
          </w:p>
          <w:p w14:paraId="5F7A27E5" w14:textId="77777777" w:rsidR="00670881" w:rsidRDefault="00670881" w:rsidP="00670881">
            <w:pPr>
              <w:spacing w:after="0" w:line="240" w:lineRule="exact"/>
              <w:jc w:val="center"/>
              <w:rPr>
                <w:rFonts w:ascii="Arial" w:hAnsi="Arial" w:cs="Arial"/>
                <w:b/>
                <w:sz w:val="20"/>
              </w:rPr>
            </w:pPr>
            <w:r w:rsidRPr="00873498">
              <w:rPr>
                <w:rFonts w:ascii="Arial" w:hAnsi="Arial" w:cs="Arial"/>
                <w:b/>
                <w:sz w:val="20"/>
              </w:rPr>
              <w:t>1-3</w:t>
            </w:r>
          </w:p>
          <w:p w14:paraId="3105D230" w14:textId="77777777" w:rsidR="00670881" w:rsidRPr="00873498" w:rsidRDefault="00670881" w:rsidP="00670881">
            <w:pPr>
              <w:spacing w:after="0" w:line="240" w:lineRule="exact"/>
              <w:jc w:val="center"/>
              <w:rPr>
                <w:rFonts w:ascii="Arial" w:hAnsi="Arial" w:cs="Arial"/>
                <w:b/>
                <w:sz w:val="20"/>
              </w:rPr>
            </w:pPr>
          </w:p>
        </w:tc>
      </w:tr>
      <w:tr w:rsidR="00670881" w:rsidRPr="00873498" w14:paraId="3B616E76" w14:textId="77777777" w:rsidTr="00670881">
        <w:tblPrEx>
          <w:tblLook w:val="01E0" w:firstRow="1" w:lastRow="1" w:firstColumn="1" w:lastColumn="1" w:noHBand="0" w:noVBand="0"/>
        </w:tblPrEx>
        <w:tc>
          <w:tcPr>
            <w:tcW w:w="3186" w:type="pct"/>
            <w:gridSpan w:val="3"/>
          </w:tcPr>
          <w:p w14:paraId="62C2B4C8" w14:textId="7FF24204" w:rsidR="00670881" w:rsidRPr="00A14C2A" w:rsidRDefault="00670881" w:rsidP="00670881">
            <w:pPr>
              <w:widowControl w:val="0"/>
              <w:ind w:right="-20"/>
              <w:rPr>
                <w:rFonts w:ascii="Century Gothic" w:eastAsia="Century Gothic" w:hAnsi="Century Gothic" w:cs="Century Gothic"/>
                <w:color w:val="000000"/>
                <w:w w:val="99"/>
                <w:sz w:val="20"/>
              </w:rPr>
            </w:pPr>
            <w:r w:rsidRPr="00040DA7">
              <w:rPr>
                <w:rFonts w:ascii="Frutiger LT Std 45 Light" w:hAnsi="Frutiger LT Std 45 Light" w:cs="Arial"/>
                <w:b/>
                <w:bCs/>
                <w:color w:val="000000" w:themeColor="text1"/>
                <w:sz w:val="20"/>
              </w:rPr>
              <w:t>Global Perspective</w:t>
            </w:r>
            <w:r w:rsidRPr="00040DA7">
              <w:rPr>
                <w:rFonts w:ascii="Frutiger LT Std 45 Light" w:hAnsi="Frutiger LT Std 45 Light" w:cs="Arial"/>
                <w:color w:val="000000" w:themeColor="text1"/>
                <w:sz w:val="20"/>
              </w:rPr>
              <w:t xml:space="preserve">: A deep understanding of </w:t>
            </w:r>
            <w:r>
              <w:rPr>
                <w:rFonts w:ascii="Frutiger LT Std 45 Light" w:hAnsi="Frutiger LT Std 45 Light" w:cs="Arial"/>
                <w:color w:val="000000" w:themeColor="text1"/>
                <w:sz w:val="20"/>
              </w:rPr>
              <w:t xml:space="preserve">TNE, </w:t>
            </w:r>
            <w:r w:rsidRPr="00040DA7">
              <w:rPr>
                <w:rFonts w:ascii="Frutiger LT Std 45 Light" w:hAnsi="Frutiger LT Std 45 Light" w:cs="Arial"/>
                <w:color w:val="000000" w:themeColor="text1"/>
                <w:sz w:val="20"/>
              </w:rPr>
              <w:t>global higher education trends, knowledge of diverse international markets, and a global perspective on education are essential.  Cultural Competence: Demonstrated cultural sensitivity and awareness, with experience working with individuals from diverse backgrounds and cultures.</w:t>
            </w:r>
          </w:p>
        </w:tc>
        <w:tc>
          <w:tcPr>
            <w:tcW w:w="1238" w:type="pct"/>
          </w:tcPr>
          <w:p w14:paraId="629E4D32" w14:textId="27A60F61" w:rsidR="00670881" w:rsidRPr="00873498" w:rsidRDefault="00670881" w:rsidP="00670881">
            <w:pPr>
              <w:spacing w:before="60" w:after="60" w:line="240" w:lineRule="exact"/>
              <w:jc w:val="center"/>
              <w:rPr>
                <w:rFonts w:ascii="Arial" w:hAnsi="Arial" w:cs="Arial"/>
                <w:sz w:val="20"/>
              </w:rPr>
            </w:pPr>
            <w:r>
              <w:rPr>
                <w:rFonts w:ascii="Arial" w:hAnsi="Arial" w:cs="Arial"/>
                <w:sz w:val="20"/>
              </w:rPr>
              <w:t>E</w:t>
            </w:r>
          </w:p>
        </w:tc>
        <w:tc>
          <w:tcPr>
            <w:tcW w:w="576" w:type="pct"/>
          </w:tcPr>
          <w:p w14:paraId="6E04709F" w14:textId="47E2852F" w:rsidR="00670881" w:rsidRPr="00873498" w:rsidRDefault="00670881" w:rsidP="00670881">
            <w:pPr>
              <w:spacing w:before="60" w:after="60" w:line="240" w:lineRule="exact"/>
              <w:jc w:val="center"/>
              <w:rPr>
                <w:rFonts w:ascii="Arial" w:hAnsi="Arial" w:cs="Arial"/>
                <w:sz w:val="20"/>
              </w:rPr>
            </w:pPr>
            <w:r>
              <w:rPr>
                <w:rFonts w:ascii="Arial" w:hAnsi="Arial" w:cs="Arial"/>
                <w:sz w:val="20"/>
              </w:rPr>
              <w:t>3</w:t>
            </w:r>
          </w:p>
        </w:tc>
      </w:tr>
      <w:tr w:rsidR="00670881" w:rsidRPr="00873498" w14:paraId="0B17F974" w14:textId="77777777" w:rsidTr="00670881">
        <w:tblPrEx>
          <w:tblLook w:val="01E0" w:firstRow="1" w:lastRow="1" w:firstColumn="1" w:lastColumn="1" w:noHBand="0" w:noVBand="0"/>
        </w:tblPrEx>
        <w:trPr>
          <w:trHeight w:val="116"/>
        </w:trPr>
        <w:tc>
          <w:tcPr>
            <w:tcW w:w="3186" w:type="pct"/>
            <w:gridSpan w:val="3"/>
          </w:tcPr>
          <w:p w14:paraId="23D77185" w14:textId="01188D3B" w:rsidR="00670881" w:rsidRPr="00873498" w:rsidRDefault="00670881" w:rsidP="00670881">
            <w:pPr>
              <w:widowControl w:val="0"/>
              <w:ind w:right="-20"/>
              <w:rPr>
                <w:rFonts w:ascii="Arial" w:hAnsi="Arial" w:cs="Arial"/>
                <w:sz w:val="20"/>
              </w:rPr>
            </w:pPr>
            <w:r w:rsidRPr="00040DA7">
              <w:rPr>
                <w:rFonts w:ascii="Frutiger LT Std 45 Light" w:hAnsi="Frutiger LT Std 45 Light" w:cs="Arial"/>
                <w:b/>
                <w:bCs/>
                <w:color w:val="000000" w:themeColor="text1"/>
                <w:sz w:val="20"/>
              </w:rPr>
              <w:t>Relationship Building and networking</w:t>
            </w:r>
            <w:r w:rsidRPr="00040DA7">
              <w:rPr>
                <w:rFonts w:ascii="Frutiger LT Std 45 Light" w:hAnsi="Frutiger LT Std 45 Light" w:cs="Arial"/>
                <w:color w:val="000000" w:themeColor="text1"/>
                <w:sz w:val="20"/>
              </w:rPr>
              <w:t>: Exceptional relationship-building skills, both within and outside the organisation, with the ability to engage and collaborate effectively with a diverse array of stakeholders, including international partners, faculty, staff and students. Strong existing networks in the international higher education community, as well as the ability to expand and leverage these networks to benefit the University.</w:t>
            </w:r>
          </w:p>
        </w:tc>
        <w:tc>
          <w:tcPr>
            <w:tcW w:w="1238" w:type="pct"/>
          </w:tcPr>
          <w:p w14:paraId="1B2ACE31" w14:textId="40DF34D4" w:rsidR="00670881" w:rsidRPr="00873498" w:rsidRDefault="00670881" w:rsidP="00670881">
            <w:pPr>
              <w:spacing w:before="60" w:after="60" w:line="240" w:lineRule="exact"/>
              <w:jc w:val="center"/>
              <w:rPr>
                <w:rFonts w:ascii="Arial" w:hAnsi="Arial" w:cs="Arial"/>
                <w:sz w:val="20"/>
              </w:rPr>
            </w:pPr>
            <w:r>
              <w:rPr>
                <w:rFonts w:ascii="Arial" w:hAnsi="Arial" w:cs="Arial"/>
                <w:sz w:val="20"/>
              </w:rPr>
              <w:t>E</w:t>
            </w:r>
          </w:p>
        </w:tc>
        <w:tc>
          <w:tcPr>
            <w:tcW w:w="576" w:type="pct"/>
          </w:tcPr>
          <w:p w14:paraId="5434DD3B" w14:textId="5001E483" w:rsidR="00670881" w:rsidRPr="00873498" w:rsidRDefault="00670881" w:rsidP="00670881">
            <w:pPr>
              <w:spacing w:before="60" w:after="60" w:line="240" w:lineRule="exact"/>
              <w:jc w:val="center"/>
              <w:rPr>
                <w:rFonts w:ascii="Arial" w:hAnsi="Arial" w:cs="Arial"/>
                <w:sz w:val="20"/>
              </w:rPr>
            </w:pPr>
            <w:r>
              <w:rPr>
                <w:rFonts w:ascii="Arial" w:hAnsi="Arial" w:cs="Arial"/>
                <w:sz w:val="20"/>
              </w:rPr>
              <w:t>3</w:t>
            </w:r>
          </w:p>
        </w:tc>
      </w:tr>
      <w:tr w:rsidR="00670881" w:rsidRPr="00873498" w14:paraId="07708ACB" w14:textId="77777777" w:rsidTr="00670881">
        <w:tblPrEx>
          <w:tblLook w:val="01E0" w:firstRow="1" w:lastRow="1" w:firstColumn="1" w:lastColumn="1" w:noHBand="0" w:noVBand="0"/>
        </w:tblPrEx>
        <w:tc>
          <w:tcPr>
            <w:tcW w:w="3186" w:type="pct"/>
            <w:gridSpan w:val="3"/>
          </w:tcPr>
          <w:p w14:paraId="31C98286" w14:textId="50D9561B" w:rsidR="00670881" w:rsidRPr="00873498" w:rsidRDefault="00670881" w:rsidP="00670881">
            <w:pPr>
              <w:widowControl w:val="0"/>
              <w:ind w:right="-20"/>
              <w:rPr>
                <w:rFonts w:ascii="Arial" w:hAnsi="Arial" w:cs="Arial"/>
                <w:sz w:val="20"/>
              </w:rPr>
            </w:pPr>
            <w:r w:rsidRPr="00040DA7">
              <w:rPr>
                <w:rFonts w:ascii="Frutiger LT Std 45 Light" w:hAnsi="Frutiger LT Std 45 Light" w:cs="Arial"/>
                <w:b/>
                <w:bCs/>
                <w:color w:val="000000" w:themeColor="text1"/>
                <w:sz w:val="20"/>
              </w:rPr>
              <w:t>Leadership:</w:t>
            </w:r>
            <w:r w:rsidRPr="00040DA7">
              <w:rPr>
                <w:rFonts w:ascii="Frutiger LT Std 45 Light" w:hAnsi="Frutiger LT Std 45 Light" w:cs="Arial"/>
                <w:color w:val="000000" w:themeColor="text1"/>
                <w:sz w:val="20"/>
              </w:rPr>
              <w:t xml:space="preserve"> Strong leadership and management skills and a proven ability to set and achieve strategic objectives in the context of </w:t>
            </w:r>
            <w:r>
              <w:rPr>
                <w:rFonts w:ascii="Frutiger LT Std 45 Light" w:hAnsi="Frutiger LT Std 45 Light" w:cs="Arial"/>
                <w:color w:val="000000" w:themeColor="text1"/>
                <w:sz w:val="20"/>
              </w:rPr>
              <w:t>TNE</w:t>
            </w:r>
            <w:r w:rsidRPr="00040DA7">
              <w:rPr>
                <w:rFonts w:ascii="Frutiger LT Std 45 Light" w:hAnsi="Frutiger LT Std 45 Light" w:cs="Arial"/>
                <w:color w:val="000000" w:themeColor="text1"/>
                <w:sz w:val="20"/>
              </w:rPr>
              <w:t>.</w:t>
            </w:r>
          </w:p>
        </w:tc>
        <w:tc>
          <w:tcPr>
            <w:tcW w:w="1238" w:type="pct"/>
          </w:tcPr>
          <w:p w14:paraId="1AA12F0A" w14:textId="7504C865" w:rsidR="00670881" w:rsidRPr="00873498" w:rsidRDefault="00670881" w:rsidP="00670881">
            <w:pPr>
              <w:spacing w:before="60" w:after="60" w:line="240" w:lineRule="exact"/>
              <w:jc w:val="center"/>
              <w:rPr>
                <w:rFonts w:ascii="Arial" w:hAnsi="Arial" w:cs="Arial"/>
                <w:sz w:val="20"/>
              </w:rPr>
            </w:pPr>
            <w:r>
              <w:rPr>
                <w:rFonts w:ascii="Arial" w:hAnsi="Arial" w:cs="Arial"/>
                <w:sz w:val="20"/>
              </w:rPr>
              <w:t>E</w:t>
            </w:r>
          </w:p>
        </w:tc>
        <w:tc>
          <w:tcPr>
            <w:tcW w:w="576" w:type="pct"/>
          </w:tcPr>
          <w:p w14:paraId="34965CBD" w14:textId="1B8E9A0A" w:rsidR="00670881" w:rsidRPr="00873498" w:rsidRDefault="00670881" w:rsidP="00670881">
            <w:pPr>
              <w:spacing w:before="60" w:after="60" w:line="240" w:lineRule="exact"/>
              <w:jc w:val="center"/>
              <w:rPr>
                <w:rFonts w:ascii="Arial" w:hAnsi="Arial" w:cs="Arial"/>
                <w:sz w:val="20"/>
              </w:rPr>
            </w:pPr>
            <w:r>
              <w:rPr>
                <w:rFonts w:ascii="Arial" w:hAnsi="Arial" w:cs="Arial"/>
                <w:sz w:val="20"/>
              </w:rPr>
              <w:t>3</w:t>
            </w:r>
          </w:p>
        </w:tc>
      </w:tr>
      <w:tr w:rsidR="00670881" w:rsidRPr="00873498" w14:paraId="0B800266" w14:textId="77777777" w:rsidTr="00E75F9F">
        <w:tblPrEx>
          <w:tblLook w:val="01E0" w:firstRow="1" w:lastRow="1" w:firstColumn="1" w:lastColumn="1" w:noHBand="0" w:noVBand="0"/>
        </w:tblPrEx>
        <w:tc>
          <w:tcPr>
            <w:tcW w:w="4424" w:type="pct"/>
            <w:gridSpan w:val="4"/>
          </w:tcPr>
          <w:p w14:paraId="2BA915AF" w14:textId="02B77A8D" w:rsidR="00670881" w:rsidRPr="00873498" w:rsidRDefault="00670881" w:rsidP="00670881">
            <w:pPr>
              <w:spacing w:before="120" w:after="120" w:line="240" w:lineRule="exact"/>
              <w:jc w:val="left"/>
              <w:rPr>
                <w:rFonts w:ascii="Arial" w:hAnsi="Arial" w:cs="Arial"/>
                <w:b/>
                <w:sz w:val="20"/>
              </w:rPr>
            </w:pPr>
            <w:r w:rsidRPr="00873498">
              <w:rPr>
                <w:rFonts w:ascii="Arial" w:hAnsi="Arial" w:cs="Arial"/>
                <w:b/>
                <w:sz w:val="20"/>
              </w:rPr>
              <w:t>Special Requirements</w:t>
            </w:r>
            <w:r>
              <w:rPr>
                <w:rFonts w:ascii="Arial" w:hAnsi="Arial" w:cs="Arial"/>
                <w:b/>
                <w:sz w:val="20"/>
              </w:rPr>
              <w:t xml:space="preserve"> </w:t>
            </w:r>
            <w:r w:rsidRPr="002C2169">
              <w:rPr>
                <w:rFonts w:ascii="Arial" w:hAnsi="Arial" w:cs="Arial"/>
                <w:bCs/>
                <w:sz w:val="16"/>
                <w:szCs w:val="16"/>
              </w:rPr>
              <w:t>This may include a Disclosure and Barring Service (DBS) check, regular overseas travel, driving licence, shift work.</w:t>
            </w:r>
            <w:r w:rsidRPr="002C2169">
              <w:rPr>
                <w:rFonts w:ascii="Arial" w:hAnsi="Arial" w:cs="Arial"/>
                <w:b/>
                <w:sz w:val="16"/>
                <w:szCs w:val="16"/>
              </w:rPr>
              <w:t xml:space="preserve">  </w:t>
            </w:r>
          </w:p>
        </w:tc>
        <w:tc>
          <w:tcPr>
            <w:tcW w:w="576" w:type="pct"/>
          </w:tcPr>
          <w:p w14:paraId="10B1AE7F" w14:textId="77777777" w:rsidR="00670881" w:rsidRPr="00873498" w:rsidRDefault="00670881" w:rsidP="00670881">
            <w:pPr>
              <w:spacing w:before="120" w:after="120" w:line="240" w:lineRule="exact"/>
              <w:jc w:val="center"/>
              <w:rPr>
                <w:rFonts w:ascii="Arial" w:hAnsi="Arial" w:cs="Arial"/>
                <w:b/>
                <w:sz w:val="20"/>
              </w:rPr>
            </w:pPr>
            <w:r w:rsidRPr="00873498">
              <w:rPr>
                <w:rFonts w:ascii="Arial" w:hAnsi="Arial" w:cs="Arial"/>
                <w:b/>
                <w:sz w:val="20"/>
              </w:rPr>
              <w:t>Essential/</w:t>
            </w:r>
            <w:r w:rsidRPr="00873498">
              <w:rPr>
                <w:rFonts w:ascii="Arial" w:hAnsi="Arial" w:cs="Arial"/>
                <w:b/>
                <w:sz w:val="20"/>
              </w:rPr>
              <w:br/>
              <w:t>Desirable</w:t>
            </w:r>
          </w:p>
        </w:tc>
      </w:tr>
      <w:tr w:rsidR="00670881" w:rsidRPr="00873498" w14:paraId="679CC916" w14:textId="77777777" w:rsidTr="00E75F9F">
        <w:tblPrEx>
          <w:tblLook w:val="01E0" w:firstRow="1" w:lastRow="1" w:firstColumn="1" w:lastColumn="1" w:noHBand="0" w:noVBand="0"/>
        </w:tblPrEx>
        <w:tc>
          <w:tcPr>
            <w:tcW w:w="4424" w:type="pct"/>
            <w:gridSpan w:val="4"/>
          </w:tcPr>
          <w:p w14:paraId="48E8C8BD" w14:textId="59C6C2E1" w:rsidR="00670881" w:rsidRPr="00A14C2A" w:rsidRDefault="00670881" w:rsidP="00670881">
            <w:pPr>
              <w:widowControl w:val="0"/>
              <w:ind w:right="-20"/>
              <w:rPr>
                <w:rFonts w:ascii="Century Gothic" w:eastAsia="Century Gothic" w:hAnsi="Century Gothic" w:cs="Century Gothic"/>
                <w:color w:val="000000"/>
                <w:w w:val="99"/>
                <w:sz w:val="20"/>
              </w:rPr>
            </w:pPr>
            <w:r w:rsidRPr="00211B9A">
              <w:rPr>
                <w:rFonts w:ascii="Frutiger LT Std 45 Light" w:hAnsi="Frutiger LT Std 45 Light" w:cs="Arial"/>
                <w:sz w:val="20"/>
              </w:rPr>
              <w:t>The post holder will be required to have a degree of flexibility in terms of working outside of normal office hours</w:t>
            </w:r>
            <w:r>
              <w:rPr>
                <w:rFonts w:ascii="Frutiger LT Std 45 Light" w:hAnsi="Frutiger LT Std 45 Light" w:cs="Arial"/>
                <w:sz w:val="20"/>
              </w:rPr>
              <w:t xml:space="preserve"> &amp; travel</w:t>
            </w:r>
            <w:r w:rsidRPr="00514C1A">
              <w:rPr>
                <w:rFonts w:ascii="Frutiger LT Std 45 Light" w:hAnsi="Frutiger LT Std 45 Light" w:cs="Arial"/>
                <w:sz w:val="20"/>
              </w:rPr>
              <w:t xml:space="preserve"> due to the nature of the post</w:t>
            </w:r>
          </w:p>
        </w:tc>
        <w:tc>
          <w:tcPr>
            <w:tcW w:w="576" w:type="pct"/>
          </w:tcPr>
          <w:p w14:paraId="2569D1A7" w14:textId="18F5449F" w:rsidR="00670881" w:rsidRPr="00873498" w:rsidRDefault="00670881" w:rsidP="00670881">
            <w:pPr>
              <w:spacing w:before="60" w:after="60" w:line="240" w:lineRule="exact"/>
              <w:jc w:val="center"/>
              <w:rPr>
                <w:rFonts w:ascii="Arial" w:hAnsi="Arial" w:cs="Arial"/>
                <w:sz w:val="20"/>
              </w:rPr>
            </w:pPr>
            <w:r>
              <w:rPr>
                <w:rFonts w:ascii="Arial" w:hAnsi="Arial" w:cs="Arial"/>
                <w:sz w:val="20"/>
              </w:rPr>
              <w:t>E</w:t>
            </w:r>
          </w:p>
        </w:tc>
      </w:tr>
      <w:tr w:rsidR="00670881" w:rsidRPr="00873498" w14:paraId="039B4CC3" w14:textId="77777777" w:rsidTr="00E75F9F">
        <w:tblPrEx>
          <w:tblLook w:val="01E0" w:firstRow="1" w:lastRow="1" w:firstColumn="1" w:lastColumn="1" w:noHBand="0" w:noVBand="0"/>
        </w:tblPrEx>
        <w:tc>
          <w:tcPr>
            <w:tcW w:w="4424" w:type="pct"/>
            <w:gridSpan w:val="4"/>
          </w:tcPr>
          <w:p w14:paraId="6835C10F" w14:textId="77777777" w:rsidR="00670881" w:rsidRPr="00873498" w:rsidRDefault="00670881" w:rsidP="00670881">
            <w:pPr>
              <w:spacing w:before="120" w:after="120" w:line="240" w:lineRule="exact"/>
              <w:jc w:val="left"/>
              <w:rPr>
                <w:rFonts w:ascii="Arial" w:hAnsi="Arial" w:cs="Arial"/>
                <w:b/>
                <w:sz w:val="20"/>
              </w:rPr>
            </w:pPr>
            <w:r w:rsidRPr="00873498">
              <w:rPr>
                <w:rFonts w:ascii="Arial" w:hAnsi="Arial" w:cs="Arial"/>
                <w:b/>
                <w:sz w:val="20"/>
              </w:rPr>
              <w:t xml:space="preserve">Core Competencies </w:t>
            </w:r>
            <w:r w:rsidRPr="00873498">
              <w:rPr>
                <w:rFonts w:ascii="Arial" w:hAnsi="Arial" w:cs="Arial"/>
                <w:sz w:val="16"/>
                <w:szCs w:val="16"/>
              </w:rPr>
              <w:t>This section contains the level of competency required to carry out this role.  (Please refer to the competency framework for clarification where needed). n/a (not applicable) should be placed, where the competency is not a requirement of the grade.</w:t>
            </w:r>
          </w:p>
        </w:tc>
        <w:tc>
          <w:tcPr>
            <w:tcW w:w="576" w:type="pct"/>
          </w:tcPr>
          <w:p w14:paraId="713C42E0" w14:textId="77777777" w:rsidR="00670881" w:rsidRPr="00873498" w:rsidRDefault="00670881" w:rsidP="00670881">
            <w:pPr>
              <w:spacing w:before="120" w:after="0" w:line="240" w:lineRule="exact"/>
              <w:jc w:val="center"/>
              <w:rPr>
                <w:rFonts w:ascii="Arial" w:hAnsi="Arial" w:cs="Arial"/>
                <w:b/>
                <w:sz w:val="20"/>
              </w:rPr>
            </w:pPr>
            <w:r w:rsidRPr="00873498">
              <w:rPr>
                <w:rFonts w:ascii="Arial" w:hAnsi="Arial" w:cs="Arial"/>
                <w:b/>
                <w:sz w:val="20"/>
              </w:rPr>
              <w:t>Level</w:t>
            </w:r>
          </w:p>
          <w:p w14:paraId="2FDE70D4" w14:textId="77777777" w:rsidR="00670881" w:rsidRPr="00873498" w:rsidRDefault="00670881" w:rsidP="00670881">
            <w:pPr>
              <w:spacing w:after="0" w:line="240" w:lineRule="exact"/>
              <w:jc w:val="center"/>
              <w:rPr>
                <w:rFonts w:ascii="Arial" w:hAnsi="Arial" w:cs="Arial"/>
                <w:b/>
                <w:sz w:val="20"/>
              </w:rPr>
            </w:pPr>
            <w:r w:rsidRPr="00873498">
              <w:rPr>
                <w:rFonts w:ascii="Arial" w:hAnsi="Arial" w:cs="Arial"/>
                <w:b/>
                <w:sz w:val="20"/>
              </w:rPr>
              <w:t>1-3</w:t>
            </w:r>
          </w:p>
        </w:tc>
      </w:tr>
      <w:tr w:rsidR="00670881" w:rsidRPr="00873498" w14:paraId="0B14130B" w14:textId="77777777" w:rsidTr="00E75F9F">
        <w:tblPrEx>
          <w:tblLook w:val="01E0" w:firstRow="1" w:lastRow="1" w:firstColumn="1" w:lastColumn="1" w:noHBand="0" w:noVBand="0"/>
        </w:tblPrEx>
        <w:trPr>
          <w:trHeight w:val="90"/>
        </w:trPr>
        <w:tc>
          <w:tcPr>
            <w:tcW w:w="4424" w:type="pct"/>
            <w:gridSpan w:val="4"/>
          </w:tcPr>
          <w:p w14:paraId="77DC7CD9" w14:textId="77777777" w:rsidR="00670881" w:rsidRPr="00873498" w:rsidRDefault="00670881" w:rsidP="00670881">
            <w:pPr>
              <w:spacing w:before="60" w:after="60" w:line="240" w:lineRule="exact"/>
              <w:rPr>
                <w:rFonts w:ascii="Arial" w:hAnsi="Arial" w:cs="Arial"/>
                <w:sz w:val="20"/>
              </w:rPr>
            </w:pPr>
            <w:r w:rsidRPr="00873498">
              <w:rPr>
                <w:rFonts w:ascii="Arial" w:hAnsi="Arial" w:cs="Arial"/>
                <w:sz w:val="20"/>
              </w:rPr>
              <w:t>Communication</w:t>
            </w:r>
          </w:p>
          <w:p w14:paraId="60AE90E2" w14:textId="148D6242" w:rsidR="00670881" w:rsidRPr="00873498" w:rsidRDefault="00670881" w:rsidP="00670881">
            <w:pPr>
              <w:spacing w:before="60" w:after="60" w:line="240" w:lineRule="exact"/>
              <w:rPr>
                <w:rFonts w:ascii="Arial" w:hAnsi="Arial" w:cs="Arial"/>
                <w:sz w:val="20"/>
              </w:rPr>
            </w:pPr>
            <w:r w:rsidRPr="00873498">
              <w:rPr>
                <w:rFonts w:ascii="Arial" w:hAnsi="Arial" w:cs="Arial"/>
                <w:sz w:val="20"/>
              </w:rPr>
              <w:t>Adaptability and Flexibility</w:t>
            </w:r>
          </w:p>
          <w:p w14:paraId="23F91847" w14:textId="000D68DE" w:rsidR="00670881" w:rsidRPr="00873498" w:rsidRDefault="00670881" w:rsidP="00670881">
            <w:pPr>
              <w:spacing w:before="60" w:after="60" w:line="240" w:lineRule="exact"/>
              <w:rPr>
                <w:rFonts w:ascii="Arial" w:hAnsi="Arial" w:cs="Arial"/>
                <w:sz w:val="20"/>
              </w:rPr>
            </w:pPr>
            <w:r w:rsidRPr="00873498">
              <w:rPr>
                <w:rFonts w:ascii="Arial" w:hAnsi="Arial" w:cs="Arial"/>
                <w:sz w:val="20"/>
              </w:rPr>
              <w:t>Customer, Client service and support</w:t>
            </w:r>
          </w:p>
          <w:p w14:paraId="26251E08" w14:textId="77777777" w:rsidR="00670881" w:rsidRPr="00873498" w:rsidRDefault="00670881" w:rsidP="00670881">
            <w:pPr>
              <w:spacing w:before="60" w:after="60" w:line="240" w:lineRule="exact"/>
              <w:rPr>
                <w:rFonts w:ascii="Arial" w:hAnsi="Arial" w:cs="Arial"/>
                <w:sz w:val="20"/>
              </w:rPr>
            </w:pPr>
            <w:r w:rsidRPr="00873498">
              <w:rPr>
                <w:rFonts w:ascii="Arial" w:hAnsi="Arial" w:cs="Arial"/>
                <w:sz w:val="20"/>
              </w:rPr>
              <w:t>Planning and Organising</w:t>
            </w:r>
          </w:p>
          <w:p w14:paraId="78FDE242" w14:textId="77777777" w:rsidR="00670881" w:rsidRPr="00873498" w:rsidRDefault="00670881" w:rsidP="00670881">
            <w:pPr>
              <w:spacing w:before="60" w:after="60" w:line="240" w:lineRule="exact"/>
              <w:rPr>
                <w:rFonts w:ascii="Arial" w:hAnsi="Arial" w:cs="Arial"/>
                <w:sz w:val="20"/>
              </w:rPr>
            </w:pPr>
            <w:r w:rsidRPr="00873498">
              <w:rPr>
                <w:rFonts w:ascii="Arial" w:hAnsi="Arial" w:cs="Arial"/>
                <w:sz w:val="20"/>
              </w:rPr>
              <w:t>Continuous Improvement</w:t>
            </w:r>
          </w:p>
          <w:p w14:paraId="3EDDF783" w14:textId="77777777" w:rsidR="00670881" w:rsidRPr="00873498" w:rsidRDefault="00670881" w:rsidP="00670881">
            <w:pPr>
              <w:spacing w:before="60" w:after="60" w:line="240" w:lineRule="exact"/>
              <w:rPr>
                <w:rFonts w:ascii="Arial" w:hAnsi="Arial" w:cs="Arial"/>
                <w:sz w:val="20"/>
              </w:rPr>
            </w:pPr>
            <w:r w:rsidRPr="00873498">
              <w:rPr>
                <w:rFonts w:ascii="Arial" w:hAnsi="Arial" w:cs="Arial"/>
                <w:sz w:val="20"/>
              </w:rPr>
              <w:t xml:space="preserve">Problem Solving and </w:t>
            </w:r>
            <w:proofErr w:type="gramStart"/>
            <w:r w:rsidRPr="00873498">
              <w:rPr>
                <w:rFonts w:ascii="Arial" w:hAnsi="Arial" w:cs="Arial"/>
                <w:sz w:val="20"/>
              </w:rPr>
              <w:t>Decision Making</w:t>
            </w:r>
            <w:proofErr w:type="gramEnd"/>
            <w:r w:rsidRPr="00873498">
              <w:rPr>
                <w:rFonts w:ascii="Arial" w:hAnsi="Arial" w:cs="Arial"/>
                <w:sz w:val="20"/>
              </w:rPr>
              <w:t xml:space="preserve"> Skills</w:t>
            </w:r>
          </w:p>
          <w:p w14:paraId="646D280A" w14:textId="77777777" w:rsidR="00670881" w:rsidRPr="00873498" w:rsidRDefault="00670881" w:rsidP="00670881">
            <w:pPr>
              <w:spacing w:before="60" w:after="60" w:line="240" w:lineRule="exact"/>
              <w:rPr>
                <w:rFonts w:ascii="Arial" w:hAnsi="Arial" w:cs="Arial"/>
                <w:sz w:val="20"/>
              </w:rPr>
            </w:pPr>
            <w:r w:rsidRPr="00873498">
              <w:rPr>
                <w:rFonts w:ascii="Arial" w:hAnsi="Arial" w:cs="Arial"/>
                <w:sz w:val="20"/>
              </w:rPr>
              <w:t>Managing and Developing Performance</w:t>
            </w:r>
          </w:p>
          <w:p w14:paraId="4AA60477" w14:textId="77777777" w:rsidR="00670881" w:rsidRPr="00873498" w:rsidRDefault="00670881" w:rsidP="00670881">
            <w:pPr>
              <w:spacing w:before="60" w:after="60" w:line="240" w:lineRule="exact"/>
              <w:rPr>
                <w:rFonts w:ascii="Arial" w:hAnsi="Arial" w:cs="Arial"/>
                <w:sz w:val="20"/>
              </w:rPr>
            </w:pPr>
            <w:r w:rsidRPr="00873498">
              <w:rPr>
                <w:rFonts w:ascii="Arial" w:hAnsi="Arial" w:cs="Arial"/>
                <w:sz w:val="20"/>
              </w:rPr>
              <w:t>Creative and Analytical Thinking</w:t>
            </w:r>
          </w:p>
          <w:p w14:paraId="5E06143B" w14:textId="77777777" w:rsidR="00670881" w:rsidRPr="00873498" w:rsidRDefault="00670881" w:rsidP="00670881">
            <w:pPr>
              <w:spacing w:before="60" w:after="60" w:line="240" w:lineRule="exact"/>
              <w:rPr>
                <w:rFonts w:ascii="Arial" w:hAnsi="Arial" w:cs="Arial"/>
                <w:sz w:val="20"/>
              </w:rPr>
            </w:pPr>
            <w:r w:rsidRPr="00873498">
              <w:rPr>
                <w:rFonts w:ascii="Arial" w:hAnsi="Arial" w:cs="Arial"/>
                <w:sz w:val="20"/>
              </w:rPr>
              <w:t>Influencing, Persuasion and Negotiation Skills</w:t>
            </w:r>
          </w:p>
          <w:p w14:paraId="2A4314D2" w14:textId="686D4600" w:rsidR="00670881" w:rsidRPr="00873498" w:rsidRDefault="00670881" w:rsidP="00670881">
            <w:pPr>
              <w:spacing w:before="60" w:after="60" w:line="240" w:lineRule="exact"/>
              <w:rPr>
                <w:rFonts w:ascii="Arial" w:hAnsi="Arial" w:cs="Arial"/>
                <w:sz w:val="20"/>
              </w:rPr>
            </w:pPr>
            <w:r w:rsidRPr="00873498">
              <w:rPr>
                <w:rFonts w:ascii="Arial" w:hAnsi="Arial" w:cs="Arial"/>
                <w:sz w:val="20"/>
              </w:rPr>
              <w:t>Strategic Thinking and Leadership</w:t>
            </w:r>
          </w:p>
        </w:tc>
        <w:tc>
          <w:tcPr>
            <w:tcW w:w="576" w:type="pct"/>
          </w:tcPr>
          <w:p w14:paraId="6A8279A7" w14:textId="4B1465DE" w:rsidR="00670881" w:rsidRPr="00873498" w:rsidRDefault="00670881" w:rsidP="00670881">
            <w:pPr>
              <w:spacing w:before="60" w:after="60" w:line="240" w:lineRule="exact"/>
              <w:jc w:val="center"/>
              <w:rPr>
                <w:rFonts w:ascii="Arial" w:hAnsi="Arial" w:cs="Arial"/>
                <w:sz w:val="20"/>
              </w:rPr>
            </w:pPr>
            <w:r>
              <w:rPr>
                <w:rFonts w:ascii="Arial" w:hAnsi="Arial" w:cs="Arial"/>
                <w:sz w:val="20"/>
              </w:rPr>
              <w:t>3</w:t>
            </w:r>
          </w:p>
          <w:p w14:paraId="2A81F2CE" w14:textId="2F088A2C" w:rsidR="00670881" w:rsidRPr="00873498" w:rsidRDefault="00670881" w:rsidP="00670881">
            <w:pPr>
              <w:spacing w:before="60" w:after="60" w:line="240" w:lineRule="exact"/>
              <w:jc w:val="center"/>
              <w:rPr>
                <w:rFonts w:ascii="Arial" w:hAnsi="Arial" w:cs="Arial"/>
                <w:sz w:val="20"/>
              </w:rPr>
            </w:pPr>
            <w:r>
              <w:rPr>
                <w:rFonts w:ascii="Arial" w:hAnsi="Arial" w:cs="Arial"/>
                <w:sz w:val="20"/>
              </w:rPr>
              <w:t>3</w:t>
            </w:r>
          </w:p>
          <w:p w14:paraId="564C9B55" w14:textId="01F5813B" w:rsidR="00670881" w:rsidRPr="00873498" w:rsidRDefault="00670881" w:rsidP="00670881">
            <w:pPr>
              <w:spacing w:before="60" w:after="60" w:line="240" w:lineRule="exact"/>
              <w:jc w:val="center"/>
              <w:rPr>
                <w:rFonts w:ascii="Arial" w:hAnsi="Arial" w:cs="Arial"/>
                <w:sz w:val="20"/>
              </w:rPr>
            </w:pPr>
            <w:r>
              <w:rPr>
                <w:rFonts w:ascii="Arial" w:hAnsi="Arial" w:cs="Arial"/>
                <w:sz w:val="20"/>
              </w:rPr>
              <w:t>3</w:t>
            </w:r>
          </w:p>
          <w:p w14:paraId="53EFE531" w14:textId="2C5334C5" w:rsidR="00670881" w:rsidRPr="00873498" w:rsidRDefault="00670881" w:rsidP="00670881">
            <w:pPr>
              <w:spacing w:before="60" w:after="60" w:line="240" w:lineRule="exact"/>
              <w:jc w:val="center"/>
              <w:rPr>
                <w:rFonts w:ascii="Arial" w:hAnsi="Arial" w:cs="Arial"/>
                <w:sz w:val="20"/>
              </w:rPr>
            </w:pPr>
            <w:r>
              <w:rPr>
                <w:rFonts w:ascii="Arial" w:hAnsi="Arial" w:cs="Arial"/>
                <w:sz w:val="20"/>
              </w:rPr>
              <w:t>3</w:t>
            </w:r>
          </w:p>
          <w:p w14:paraId="3538766C" w14:textId="48F12E5C" w:rsidR="00670881" w:rsidRPr="00873498" w:rsidRDefault="00670881" w:rsidP="00670881">
            <w:pPr>
              <w:spacing w:before="60" w:after="60" w:line="240" w:lineRule="exact"/>
              <w:jc w:val="center"/>
              <w:rPr>
                <w:rFonts w:ascii="Arial" w:hAnsi="Arial" w:cs="Arial"/>
                <w:sz w:val="20"/>
              </w:rPr>
            </w:pPr>
            <w:r>
              <w:rPr>
                <w:rFonts w:ascii="Arial" w:hAnsi="Arial" w:cs="Arial"/>
                <w:sz w:val="20"/>
              </w:rPr>
              <w:t>3</w:t>
            </w:r>
          </w:p>
          <w:p w14:paraId="5223DD1B" w14:textId="0F7143B2" w:rsidR="00670881" w:rsidRPr="00873498" w:rsidRDefault="00670881" w:rsidP="00670881">
            <w:pPr>
              <w:spacing w:before="60" w:after="60" w:line="240" w:lineRule="exact"/>
              <w:jc w:val="center"/>
              <w:rPr>
                <w:rFonts w:ascii="Arial" w:hAnsi="Arial" w:cs="Arial"/>
                <w:sz w:val="20"/>
              </w:rPr>
            </w:pPr>
            <w:r>
              <w:rPr>
                <w:rFonts w:ascii="Arial" w:hAnsi="Arial" w:cs="Arial"/>
                <w:sz w:val="20"/>
              </w:rPr>
              <w:t>3</w:t>
            </w:r>
          </w:p>
          <w:p w14:paraId="44E646C6" w14:textId="03F8B540" w:rsidR="00670881" w:rsidRPr="00873498" w:rsidRDefault="00670881" w:rsidP="00670881">
            <w:pPr>
              <w:spacing w:before="60" w:after="60" w:line="240" w:lineRule="exact"/>
              <w:jc w:val="center"/>
              <w:rPr>
                <w:rFonts w:ascii="Arial" w:hAnsi="Arial" w:cs="Arial"/>
                <w:sz w:val="20"/>
              </w:rPr>
            </w:pPr>
            <w:r>
              <w:rPr>
                <w:rFonts w:ascii="Arial" w:hAnsi="Arial" w:cs="Arial"/>
                <w:sz w:val="20"/>
              </w:rPr>
              <w:t>n/a</w:t>
            </w:r>
          </w:p>
          <w:p w14:paraId="5135FE55" w14:textId="0B9496CC" w:rsidR="00670881" w:rsidRPr="00873498" w:rsidRDefault="00670881" w:rsidP="00670881">
            <w:pPr>
              <w:spacing w:before="60" w:after="60" w:line="240" w:lineRule="exact"/>
              <w:jc w:val="center"/>
              <w:rPr>
                <w:rFonts w:ascii="Arial" w:hAnsi="Arial" w:cs="Arial"/>
                <w:sz w:val="20"/>
              </w:rPr>
            </w:pPr>
            <w:r>
              <w:rPr>
                <w:rFonts w:ascii="Arial" w:hAnsi="Arial" w:cs="Arial"/>
                <w:sz w:val="20"/>
              </w:rPr>
              <w:t>3</w:t>
            </w:r>
          </w:p>
          <w:p w14:paraId="1F6AEC01" w14:textId="1B86B766" w:rsidR="00670881" w:rsidRPr="00873498" w:rsidRDefault="00670881" w:rsidP="00670881">
            <w:pPr>
              <w:spacing w:before="60" w:after="60" w:line="240" w:lineRule="exact"/>
              <w:jc w:val="center"/>
              <w:rPr>
                <w:rFonts w:ascii="Arial" w:hAnsi="Arial" w:cs="Arial"/>
                <w:sz w:val="20"/>
              </w:rPr>
            </w:pPr>
            <w:r>
              <w:rPr>
                <w:rFonts w:ascii="Arial" w:hAnsi="Arial" w:cs="Arial"/>
                <w:sz w:val="20"/>
              </w:rPr>
              <w:t>3</w:t>
            </w:r>
          </w:p>
          <w:p w14:paraId="63ECB622" w14:textId="37CDBFFB" w:rsidR="00670881" w:rsidRPr="00873498" w:rsidRDefault="00670881" w:rsidP="00670881">
            <w:pPr>
              <w:spacing w:before="60" w:after="60" w:line="240" w:lineRule="exact"/>
              <w:jc w:val="center"/>
              <w:rPr>
                <w:rFonts w:ascii="Arial" w:hAnsi="Arial" w:cs="Arial"/>
                <w:sz w:val="20"/>
              </w:rPr>
            </w:pPr>
            <w:r>
              <w:rPr>
                <w:rFonts w:ascii="Arial" w:hAnsi="Arial" w:cs="Arial"/>
                <w:sz w:val="20"/>
              </w:rPr>
              <w:t>3</w:t>
            </w:r>
          </w:p>
        </w:tc>
      </w:tr>
      <w:tr w:rsidR="00670881" w:rsidRPr="00873498" w14:paraId="70B935B9" w14:textId="77777777" w:rsidTr="00E75F9F">
        <w:tblPrEx>
          <w:tblLook w:val="01E0" w:firstRow="1" w:lastRow="1" w:firstColumn="1" w:lastColumn="1" w:noHBand="0" w:noVBand="0"/>
        </w:tblPrEx>
        <w:trPr>
          <w:trHeight w:val="90"/>
        </w:trPr>
        <w:tc>
          <w:tcPr>
            <w:tcW w:w="5000" w:type="pct"/>
            <w:gridSpan w:val="5"/>
          </w:tcPr>
          <w:p w14:paraId="13A729EF" w14:textId="77777777" w:rsidR="00670881" w:rsidRDefault="00670881" w:rsidP="00670881">
            <w:pPr>
              <w:spacing w:before="60" w:after="60" w:line="240" w:lineRule="exact"/>
              <w:rPr>
                <w:rFonts w:ascii="Arial" w:hAnsi="Arial" w:cs="Arial"/>
                <w:sz w:val="16"/>
                <w:szCs w:val="16"/>
              </w:rPr>
            </w:pPr>
            <w:r w:rsidRPr="00E72474">
              <w:rPr>
                <w:rFonts w:ascii="Arial" w:hAnsi="Arial" w:cs="Arial"/>
                <w:sz w:val="16"/>
                <w:szCs w:val="16"/>
              </w:rPr>
              <w:t xml:space="preserve">This Job Purpose outlines the core activities of the role. As the Department/Faculty and the post holder evolve, the duties and </w:t>
            </w:r>
            <w:r>
              <w:rPr>
                <w:rFonts w:ascii="Arial" w:hAnsi="Arial" w:cs="Arial"/>
                <w:sz w:val="16"/>
                <w:szCs w:val="16"/>
              </w:rPr>
              <w:t>focus</w:t>
            </w:r>
            <w:r w:rsidRPr="00E72474">
              <w:rPr>
                <w:rFonts w:ascii="Arial" w:hAnsi="Arial" w:cs="Arial"/>
                <w:sz w:val="16"/>
                <w:szCs w:val="16"/>
              </w:rPr>
              <w:t xml:space="preserve"> of the role may change. The University expects the post holder to adopt a flexible approach to work, including undertaking relevant training when necessary. If significant changes to the Job Purpose are required, the post holder will be consulted, and the changes will be reflected in a revised Job Purpose.</w:t>
            </w:r>
          </w:p>
          <w:p w14:paraId="0F006C86" w14:textId="77777777" w:rsidR="00670881" w:rsidRPr="00873498" w:rsidRDefault="00670881" w:rsidP="00670881">
            <w:pPr>
              <w:pStyle w:val="Heading4"/>
              <w:spacing w:before="60" w:after="60"/>
              <w:jc w:val="both"/>
              <w:rPr>
                <w:rFonts w:cs="Arial"/>
                <w:sz w:val="16"/>
              </w:rPr>
            </w:pPr>
            <w:r w:rsidRPr="00873498">
              <w:rPr>
                <w:rFonts w:cs="Arial"/>
                <w:sz w:val="16"/>
              </w:rPr>
              <w:t>All staff are expected to:</w:t>
            </w:r>
          </w:p>
          <w:p w14:paraId="1E501B16" w14:textId="77777777" w:rsidR="00670881" w:rsidRPr="00873498" w:rsidRDefault="00670881" w:rsidP="00670881">
            <w:pPr>
              <w:pStyle w:val="ListParagraph"/>
              <w:keepNext/>
              <w:numPr>
                <w:ilvl w:val="0"/>
                <w:numId w:val="22"/>
              </w:numPr>
              <w:tabs>
                <w:tab w:val="left" w:pos="0"/>
              </w:tabs>
              <w:spacing w:before="60" w:after="60"/>
              <w:ind w:left="284" w:hanging="284"/>
              <w:outlineLvl w:val="2"/>
              <w:rPr>
                <w:rFonts w:ascii="Arial" w:hAnsi="Arial" w:cs="Arial"/>
                <w:sz w:val="16"/>
              </w:rPr>
            </w:pPr>
            <w:r w:rsidRPr="00873498">
              <w:rPr>
                <w:rFonts w:ascii="Arial" w:hAnsi="Arial" w:cs="Arial"/>
                <w:sz w:val="16"/>
              </w:rPr>
              <w:t>Positively support equality of opportunity and equity of treatment to colleagues and students in accordance with the University of Surrey Equal Opportunities Policy.</w:t>
            </w:r>
          </w:p>
          <w:p w14:paraId="022BDCA2" w14:textId="77777777" w:rsidR="00670881" w:rsidRPr="00873498" w:rsidRDefault="00670881" w:rsidP="00670881">
            <w:pPr>
              <w:keepNext/>
              <w:numPr>
                <w:ilvl w:val="0"/>
                <w:numId w:val="22"/>
              </w:numPr>
              <w:tabs>
                <w:tab w:val="left" w:pos="0"/>
              </w:tabs>
              <w:spacing w:before="60" w:after="60"/>
              <w:ind w:left="284" w:hanging="284"/>
              <w:outlineLvl w:val="2"/>
              <w:rPr>
                <w:rFonts w:ascii="Arial" w:hAnsi="Arial" w:cs="Arial"/>
                <w:sz w:val="16"/>
              </w:rPr>
            </w:pPr>
            <w:r w:rsidRPr="00873498">
              <w:rPr>
                <w:rFonts w:ascii="Arial" w:hAnsi="Arial" w:cs="Arial"/>
                <w:iCs/>
                <w:sz w:val="16"/>
                <w:szCs w:val="16"/>
                <w:lang w:eastAsia="en-GB"/>
              </w:rPr>
              <w:t>Work to achieve the aims of our Environmental Policy and promote awareness to colleagues and students.</w:t>
            </w:r>
            <w:r w:rsidRPr="00873498">
              <w:rPr>
                <w:rFonts w:ascii="Arial" w:hAnsi="Arial" w:cs="Arial"/>
                <w:sz w:val="16"/>
                <w:szCs w:val="16"/>
                <w:lang w:eastAsia="en-GB"/>
              </w:rPr>
              <w:t xml:space="preserve"> </w:t>
            </w:r>
          </w:p>
          <w:p w14:paraId="67BBEAD2" w14:textId="77777777" w:rsidR="00670881" w:rsidRDefault="00670881" w:rsidP="00670881">
            <w:pPr>
              <w:pStyle w:val="Default"/>
              <w:numPr>
                <w:ilvl w:val="0"/>
                <w:numId w:val="22"/>
              </w:numPr>
              <w:ind w:left="284" w:hanging="284"/>
              <w:jc w:val="both"/>
              <w:rPr>
                <w:rFonts w:ascii="Arial" w:eastAsia="Times New Roman" w:hAnsi="Arial" w:cs="Arial"/>
                <w:iCs/>
                <w:color w:val="auto"/>
                <w:sz w:val="16"/>
                <w:szCs w:val="16"/>
                <w:lang w:eastAsia="en-GB"/>
              </w:rPr>
            </w:pPr>
            <w:r w:rsidRPr="00873498">
              <w:rPr>
                <w:rFonts w:ascii="Arial" w:eastAsia="Times New Roman" w:hAnsi="Arial" w:cs="Arial"/>
                <w:iCs/>
                <w:color w:val="auto"/>
                <w:sz w:val="16"/>
                <w:szCs w:val="16"/>
                <w:lang w:eastAsia="en-GB"/>
              </w:rPr>
              <w:t>Follow University/departmental policies and working practices in ensuring that no breaches of information security result from their actions.</w:t>
            </w:r>
          </w:p>
          <w:p w14:paraId="5229D581" w14:textId="10246F88" w:rsidR="00670881" w:rsidRPr="00873498" w:rsidRDefault="00670881" w:rsidP="00670881">
            <w:pPr>
              <w:pStyle w:val="Default"/>
              <w:numPr>
                <w:ilvl w:val="0"/>
                <w:numId w:val="22"/>
              </w:numPr>
              <w:ind w:left="284" w:hanging="284"/>
              <w:jc w:val="both"/>
              <w:rPr>
                <w:rFonts w:ascii="Arial" w:eastAsia="Times New Roman" w:hAnsi="Arial" w:cs="Arial"/>
                <w:iCs/>
                <w:color w:val="auto"/>
                <w:sz w:val="16"/>
                <w:szCs w:val="16"/>
                <w:lang w:eastAsia="en-GB"/>
              </w:rPr>
            </w:pPr>
            <w:r>
              <w:rPr>
                <w:rFonts w:ascii="Arial" w:eastAsia="Times New Roman" w:hAnsi="Arial" w:cs="Arial"/>
                <w:iCs/>
                <w:color w:val="auto"/>
                <w:sz w:val="16"/>
                <w:szCs w:val="16"/>
                <w:lang w:eastAsia="en-GB"/>
              </w:rPr>
              <w:lastRenderedPageBreak/>
              <w:t xml:space="preserve">Contribute towards broader university initiatives that have a positive impact on student experience, recruitment and campus operations. This may include participation in cross-functional activities such as open days, confirmation and clearing, welcome week, graduation. </w:t>
            </w:r>
          </w:p>
          <w:p w14:paraId="2F2C6E6E" w14:textId="77777777" w:rsidR="00670881" w:rsidRPr="00873498" w:rsidRDefault="00670881" w:rsidP="00670881">
            <w:pPr>
              <w:pStyle w:val="Default"/>
              <w:numPr>
                <w:ilvl w:val="0"/>
                <w:numId w:val="22"/>
              </w:numPr>
              <w:ind w:left="284" w:hanging="284"/>
              <w:jc w:val="both"/>
              <w:rPr>
                <w:rFonts w:ascii="Arial" w:eastAsia="Times New Roman" w:hAnsi="Arial" w:cs="Arial"/>
                <w:iCs/>
                <w:color w:val="auto"/>
                <w:sz w:val="16"/>
                <w:szCs w:val="16"/>
                <w:lang w:eastAsia="en-GB"/>
              </w:rPr>
            </w:pPr>
            <w:r w:rsidRPr="00873498">
              <w:rPr>
                <w:rFonts w:ascii="Arial" w:eastAsia="Times New Roman" w:hAnsi="Arial" w:cs="Arial"/>
                <w:iCs/>
                <w:color w:val="auto"/>
                <w:sz w:val="16"/>
                <w:szCs w:val="16"/>
                <w:lang w:eastAsia="en-GB"/>
              </w:rPr>
              <w:t>Ensure they are aware of and abide by all relevant University Regulations and Policies relevant to the role.</w:t>
            </w:r>
          </w:p>
          <w:p w14:paraId="56955145" w14:textId="77777777" w:rsidR="00670881" w:rsidRPr="00873498" w:rsidRDefault="00670881" w:rsidP="00670881">
            <w:pPr>
              <w:keepNext/>
              <w:numPr>
                <w:ilvl w:val="0"/>
                <w:numId w:val="22"/>
              </w:numPr>
              <w:tabs>
                <w:tab w:val="left" w:pos="0"/>
              </w:tabs>
              <w:spacing w:before="60" w:after="60"/>
              <w:ind w:left="284" w:hanging="284"/>
              <w:outlineLvl w:val="2"/>
              <w:rPr>
                <w:rFonts w:ascii="Arial" w:hAnsi="Arial" w:cs="Arial"/>
                <w:iCs/>
                <w:sz w:val="16"/>
                <w:szCs w:val="16"/>
                <w:lang w:eastAsia="en-GB"/>
              </w:rPr>
            </w:pPr>
            <w:r w:rsidRPr="00873498">
              <w:rPr>
                <w:rFonts w:ascii="Arial" w:hAnsi="Arial" w:cs="Arial"/>
                <w:iCs/>
                <w:sz w:val="16"/>
                <w:szCs w:val="16"/>
                <w:lang w:eastAsia="en-GB"/>
              </w:rPr>
              <w:t xml:space="preserve">Undertake such other duties within the scope of the post as may be requested by your </w:t>
            </w:r>
            <w:proofErr w:type="gramStart"/>
            <w:r w:rsidRPr="00873498">
              <w:rPr>
                <w:rFonts w:ascii="Arial" w:hAnsi="Arial" w:cs="Arial"/>
                <w:iCs/>
                <w:sz w:val="16"/>
                <w:szCs w:val="16"/>
                <w:lang w:eastAsia="en-GB"/>
              </w:rPr>
              <w:t>Manager</w:t>
            </w:r>
            <w:proofErr w:type="gramEnd"/>
            <w:r w:rsidRPr="00873498">
              <w:rPr>
                <w:rFonts w:ascii="Arial" w:hAnsi="Arial" w:cs="Arial"/>
                <w:iCs/>
                <w:sz w:val="16"/>
                <w:szCs w:val="16"/>
                <w:lang w:eastAsia="en-GB"/>
              </w:rPr>
              <w:t>.</w:t>
            </w:r>
          </w:p>
          <w:p w14:paraId="395B9FB4" w14:textId="77777777" w:rsidR="00670881" w:rsidRPr="00873498" w:rsidRDefault="00670881" w:rsidP="00670881">
            <w:pPr>
              <w:keepNext/>
              <w:numPr>
                <w:ilvl w:val="0"/>
                <w:numId w:val="22"/>
              </w:numPr>
              <w:tabs>
                <w:tab w:val="left" w:pos="0"/>
              </w:tabs>
              <w:spacing w:before="60" w:after="60"/>
              <w:ind w:left="284" w:hanging="284"/>
              <w:outlineLvl w:val="2"/>
              <w:rPr>
                <w:rFonts w:ascii="Arial" w:hAnsi="Arial" w:cs="Arial"/>
                <w:iCs/>
                <w:sz w:val="16"/>
                <w:szCs w:val="16"/>
                <w:lang w:eastAsia="en-GB"/>
              </w:rPr>
            </w:pPr>
            <w:r w:rsidRPr="00873498">
              <w:rPr>
                <w:rFonts w:ascii="Arial" w:hAnsi="Arial" w:cs="Arial"/>
                <w:iCs/>
                <w:sz w:val="16"/>
                <w:szCs w:val="16"/>
                <w:lang w:eastAsia="en-GB"/>
              </w:rPr>
              <w:t xml:space="preserve">Work supportively with colleagues, </w:t>
            </w:r>
            <w:proofErr w:type="gramStart"/>
            <w:r w:rsidRPr="00873498">
              <w:rPr>
                <w:rFonts w:ascii="Arial" w:hAnsi="Arial" w:cs="Arial"/>
                <w:iCs/>
                <w:sz w:val="16"/>
                <w:szCs w:val="16"/>
                <w:lang w:eastAsia="en-GB"/>
              </w:rPr>
              <w:t>operating in a collegiate manner at all times</w:t>
            </w:r>
            <w:proofErr w:type="gramEnd"/>
            <w:r w:rsidRPr="00873498">
              <w:rPr>
                <w:rFonts w:ascii="Arial" w:hAnsi="Arial" w:cs="Arial"/>
                <w:iCs/>
                <w:sz w:val="16"/>
                <w:szCs w:val="16"/>
                <w:lang w:eastAsia="en-GB"/>
              </w:rPr>
              <w:t>.</w:t>
            </w:r>
          </w:p>
          <w:p w14:paraId="0B0A9BDA" w14:textId="7CF7EC1C" w:rsidR="00670881" w:rsidRPr="00873498" w:rsidRDefault="00670881" w:rsidP="00670881">
            <w:pPr>
              <w:keepNext/>
              <w:tabs>
                <w:tab w:val="left" w:pos="0"/>
              </w:tabs>
              <w:spacing w:before="60" w:after="60"/>
              <w:outlineLvl w:val="2"/>
              <w:rPr>
                <w:rFonts w:ascii="Arial" w:hAnsi="Arial" w:cs="Arial"/>
                <w:b/>
                <w:sz w:val="16"/>
              </w:rPr>
            </w:pPr>
            <w:bookmarkStart w:id="0" w:name="_Hlk202954986"/>
            <w:r w:rsidRPr="00873498">
              <w:rPr>
                <w:rFonts w:ascii="Arial" w:hAnsi="Arial" w:cs="Arial"/>
                <w:b/>
                <w:sz w:val="16"/>
              </w:rPr>
              <w:t>Help maintain a safe working environment by:</w:t>
            </w:r>
          </w:p>
          <w:bookmarkEnd w:id="0"/>
          <w:p w14:paraId="39F18069" w14:textId="647DA0B7" w:rsidR="00670881" w:rsidRPr="00C33C32" w:rsidRDefault="00670881" w:rsidP="00670881">
            <w:pPr>
              <w:keepNext/>
              <w:numPr>
                <w:ilvl w:val="0"/>
                <w:numId w:val="22"/>
              </w:numPr>
              <w:tabs>
                <w:tab w:val="left" w:pos="0"/>
              </w:tabs>
              <w:spacing w:before="60" w:after="60"/>
              <w:ind w:left="284" w:hanging="284"/>
              <w:outlineLvl w:val="2"/>
              <w:rPr>
                <w:rFonts w:ascii="Arial" w:hAnsi="Arial" w:cs="Arial"/>
                <w:sz w:val="16"/>
              </w:rPr>
            </w:pPr>
            <w:r w:rsidRPr="00C33C32">
              <w:rPr>
                <w:rFonts w:ascii="Arial" w:hAnsi="Arial" w:cs="Arial"/>
                <w:sz w:val="16"/>
              </w:rPr>
              <w:t>All staff have a statutory responsibility to take reasonable care of themselves and others and to prevent harm by their acts or omissions. All staff are, therefore, required to adhere to the University’s Our Safety Policy Statement and associated Procedures</w:t>
            </w:r>
            <w:r>
              <w:rPr>
                <w:rFonts w:ascii="Arial" w:hAnsi="Arial" w:cs="Arial"/>
                <w:sz w:val="16"/>
              </w:rPr>
              <w:t xml:space="preserve">. </w:t>
            </w:r>
          </w:p>
          <w:p w14:paraId="5BEEBC43" w14:textId="388714C3" w:rsidR="00670881" w:rsidRPr="00C33C32" w:rsidRDefault="00670881" w:rsidP="00670881">
            <w:pPr>
              <w:keepNext/>
              <w:tabs>
                <w:tab w:val="left" w:pos="0"/>
              </w:tabs>
              <w:spacing w:before="60" w:after="60"/>
              <w:outlineLvl w:val="2"/>
              <w:rPr>
                <w:rFonts w:ascii="Arial" w:hAnsi="Arial" w:cs="Arial"/>
                <w:sz w:val="16"/>
              </w:rPr>
            </w:pPr>
          </w:p>
        </w:tc>
      </w:tr>
      <w:tr w:rsidR="00670881" w:rsidRPr="00873498" w14:paraId="4879F2E6" w14:textId="77777777" w:rsidTr="00E75F9F">
        <w:tc>
          <w:tcPr>
            <w:tcW w:w="5000" w:type="pct"/>
            <w:gridSpan w:val="5"/>
            <w:shd w:val="clear" w:color="auto" w:fill="25384A"/>
          </w:tcPr>
          <w:p w14:paraId="0C4EDCD1" w14:textId="77777777" w:rsidR="00670881" w:rsidRPr="00873498" w:rsidRDefault="00670881" w:rsidP="00670881">
            <w:pPr>
              <w:spacing w:before="60" w:after="60"/>
              <w:jc w:val="left"/>
              <w:rPr>
                <w:rFonts w:ascii="Arial" w:hAnsi="Arial" w:cs="Arial"/>
                <w:sz w:val="20"/>
              </w:rPr>
            </w:pPr>
            <w:r w:rsidRPr="00873498">
              <w:rPr>
                <w:rFonts w:ascii="Arial" w:hAnsi="Arial" w:cs="Arial"/>
                <w:b/>
                <w:sz w:val="20"/>
              </w:rPr>
              <w:lastRenderedPageBreak/>
              <w:t>Organisational/Departmental Information &amp; Key Relationships</w:t>
            </w:r>
          </w:p>
        </w:tc>
      </w:tr>
      <w:tr w:rsidR="00670881" w:rsidRPr="00873498" w14:paraId="1302AEAC" w14:textId="77777777" w:rsidTr="00E75F9F">
        <w:trPr>
          <w:cantSplit/>
          <w:trHeight w:val="1214"/>
        </w:trPr>
        <w:tc>
          <w:tcPr>
            <w:tcW w:w="5000" w:type="pct"/>
            <w:gridSpan w:val="5"/>
            <w:tcBorders>
              <w:bottom w:val="single" w:sz="4" w:space="0" w:color="auto"/>
            </w:tcBorders>
          </w:tcPr>
          <w:p w14:paraId="09684B82" w14:textId="41773424" w:rsidR="00670881" w:rsidRPr="003F65D9" w:rsidRDefault="00670881" w:rsidP="00670881">
            <w:pPr>
              <w:pStyle w:val="Title"/>
              <w:spacing w:before="60"/>
              <w:jc w:val="both"/>
              <w:rPr>
                <w:rFonts w:cs="Arial"/>
                <w:b w:val="0"/>
                <w:iCs/>
                <w:sz w:val="18"/>
                <w:szCs w:val="18"/>
                <w:u w:val="none"/>
              </w:rPr>
            </w:pPr>
            <w:r w:rsidRPr="00873498">
              <w:rPr>
                <w:rFonts w:cs="Arial"/>
                <w:sz w:val="20"/>
              </w:rPr>
              <w:t xml:space="preserve">Background Information </w:t>
            </w:r>
          </w:p>
          <w:p w14:paraId="1E93807A" w14:textId="3BBB6E3F" w:rsidR="00670881" w:rsidRPr="00670881" w:rsidRDefault="00670881" w:rsidP="00670881">
            <w:pPr>
              <w:widowControl w:val="0"/>
              <w:spacing w:before="62"/>
              <w:ind w:left="283" w:right="-20"/>
              <w:rPr>
                <w:rFonts w:ascii="Frutiger LT Std 45 Light" w:hAnsi="Frutiger LT Std 45 Light"/>
                <w:bCs/>
                <w:sz w:val="20"/>
              </w:rPr>
            </w:pPr>
            <w:r w:rsidRPr="00771E6E">
              <w:rPr>
                <w:rFonts w:ascii="Frutiger LT Std 45 Light" w:hAnsi="Frutiger LT Std 45 Light"/>
                <w:bCs/>
                <w:sz w:val="20"/>
              </w:rPr>
              <w:t>Transnational Education (TNE) is the delivery of education programmes outside the UK and is a key part of the University strategy for increasing its presence in other countries.</w:t>
            </w:r>
            <w:r>
              <w:rPr>
                <w:rFonts w:ascii="Frutiger LT Std 45 Light" w:hAnsi="Frutiger LT Std 45 Light"/>
                <w:bCs/>
                <w:sz w:val="20"/>
              </w:rPr>
              <w:t xml:space="preserve"> In line with Vision 2041, the University’s TNE strategy will </w:t>
            </w:r>
            <w:r w:rsidRPr="008F767E">
              <w:rPr>
                <w:rFonts w:ascii="Frutiger LT Std 45 Light" w:hAnsi="Frutiger LT Std 45 Light"/>
                <w:bCs/>
                <w:sz w:val="20"/>
              </w:rPr>
              <w:t>enhance the international brand of the University of Surrey through the focused development of new TNE opportunities.</w:t>
            </w:r>
          </w:p>
          <w:p w14:paraId="4E0E93F4" w14:textId="77777777" w:rsidR="00670881" w:rsidRPr="00F10F6F" w:rsidRDefault="00670881" w:rsidP="00670881">
            <w:pPr>
              <w:spacing w:after="0"/>
              <w:rPr>
                <w:rFonts w:ascii="Frutiger LT Std 45 Light" w:hAnsi="Frutiger LT Std 45 Light" w:cs="Arial"/>
                <w:b/>
                <w:sz w:val="20"/>
                <w:u w:val="single"/>
              </w:rPr>
            </w:pPr>
            <w:r w:rsidRPr="00F10F6F">
              <w:rPr>
                <w:rFonts w:ascii="Frutiger LT Std 45 Light" w:hAnsi="Frutiger LT Std 45 Light" w:cs="Arial"/>
                <w:b/>
                <w:sz w:val="20"/>
                <w:u w:val="single"/>
              </w:rPr>
              <w:t>Internal</w:t>
            </w:r>
          </w:p>
          <w:p w14:paraId="204EE138" w14:textId="77777777" w:rsidR="00670881" w:rsidRPr="001D3548" w:rsidRDefault="00670881" w:rsidP="00670881">
            <w:pPr>
              <w:pStyle w:val="ListParagraph"/>
              <w:numPr>
                <w:ilvl w:val="0"/>
                <w:numId w:val="17"/>
              </w:numPr>
              <w:spacing w:before="60" w:after="0"/>
              <w:ind w:left="284" w:hanging="284"/>
              <w:rPr>
                <w:rFonts w:ascii="Frutiger LT Std 45 Light" w:hAnsi="Frutiger LT Std 45 Light" w:cs="Arial"/>
                <w:b/>
                <w:sz w:val="20"/>
                <w:u w:val="single"/>
              </w:rPr>
            </w:pPr>
            <w:r w:rsidRPr="00F45DF5">
              <w:rPr>
                <w:rFonts w:ascii="Frutiger LT Std 45 Light" w:hAnsi="Frutiger LT Std 45 Light" w:cs="Arial"/>
                <w:color w:val="000000" w:themeColor="text1"/>
                <w:sz w:val="20"/>
              </w:rPr>
              <w:t xml:space="preserve">Director of </w:t>
            </w:r>
            <w:r>
              <w:rPr>
                <w:rFonts w:ascii="Frutiger LT Std 45 Light" w:hAnsi="Frutiger LT Std 45 Light" w:cs="Arial"/>
                <w:color w:val="000000" w:themeColor="text1"/>
                <w:sz w:val="20"/>
              </w:rPr>
              <w:t>TNE</w:t>
            </w:r>
          </w:p>
          <w:p w14:paraId="0D22D233" w14:textId="77777777" w:rsidR="00670881" w:rsidRPr="001D3548" w:rsidRDefault="00670881" w:rsidP="00670881">
            <w:pPr>
              <w:pStyle w:val="ListParagraph"/>
              <w:numPr>
                <w:ilvl w:val="0"/>
                <w:numId w:val="17"/>
              </w:numPr>
              <w:spacing w:before="60" w:after="0"/>
              <w:ind w:left="284" w:hanging="284"/>
              <w:rPr>
                <w:rFonts w:ascii="Frutiger LT Std 45 Light" w:hAnsi="Frutiger LT Std 45 Light" w:cs="Arial"/>
                <w:b/>
                <w:sz w:val="20"/>
                <w:u w:val="single"/>
              </w:rPr>
            </w:pPr>
            <w:r>
              <w:rPr>
                <w:rFonts w:ascii="Frutiger LT Std 45 Light" w:hAnsi="Frutiger LT Std 45 Light" w:cs="Arial"/>
                <w:color w:val="000000" w:themeColor="text1"/>
                <w:sz w:val="20"/>
              </w:rPr>
              <w:t>I</w:t>
            </w:r>
            <w:r w:rsidRPr="00040DA7">
              <w:rPr>
                <w:rFonts w:ascii="Frutiger LT Std 45 Light" w:hAnsi="Frutiger LT Std 45 Light" w:cs="Arial"/>
                <w:color w:val="000000" w:themeColor="text1"/>
                <w:sz w:val="20"/>
              </w:rPr>
              <w:t>nternational partners</w:t>
            </w:r>
          </w:p>
          <w:p w14:paraId="0BE6B27E" w14:textId="77777777" w:rsidR="00670881" w:rsidRPr="001D3548" w:rsidRDefault="00670881" w:rsidP="00670881">
            <w:pPr>
              <w:pStyle w:val="ListParagraph"/>
              <w:numPr>
                <w:ilvl w:val="0"/>
                <w:numId w:val="17"/>
              </w:numPr>
              <w:spacing w:before="60" w:after="0"/>
              <w:ind w:left="284" w:hanging="284"/>
              <w:rPr>
                <w:rFonts w:ascii="Frutiger LT Std 45 Light" w:hAnsi="Frutiger LT Std 45 Light" w:cs="Arial"/>
                <w:b/>
                <w:sz w:val="20"/>
                <w:u w:val="single"/>
              </w:rPr>
            </w:pPr>
            <w:r>
              <w:rPr>
                <w:rFonts w:ascii="Frutiger LT Std 45 Light" w:hAnsi="Frutiger LT Std 45 Light" w:cs="Arial"/>
                <w:color w:val="000000" w:themeColor="text1"/>
                <w:sz w:val="20"/>
              </w:rPr>
              <w:t>F</w:t>
            </w:r>
            <w:r w:rsidRPr="00040DA7">
              <w:rPr>
                <w:rFonts w:ascii="Frutiger LT Std 45 Light" w:hAnsi="Frutiger LT Std 45 Light" w:cs="Arial"/>
                <w:color w:val="000000" w:themeColor="text1"/>
                <w:sz w:val="20"/>
              </w:rPr>
              <w:t>aculty</w:t>
            </w:r>
            <w:r>
              <w:rPr>
                <w:rFonts w:ascii="Frutiger LT Std 45 Light" w:hAnsi="Frutiger LT Std 45 Light" w:cs="Arial"/>
                <w:color w:val="000000" w:themeColor="text1"/>
                <w:sz w:val="20"/>
              </w:rPr>
              <w:t xml:space="preserve"> </w:t>
            </w:r>
            <w:r w:rsidRPr="001D3548">
              <w:rPr>
                <w:rFonts w:ascii="Frutiger LT Std 45 Light" w:hAnsi="Frutiger LT Std 45 Light" w:cs="Arial"/>
                <w:color w:val="000000" w:themeColor="text1"/>
                <w:sz w:val="20"/>
              </w:rPr>
              <w:t xml:space="preserve">staff </w:t>
            </w:r>
          </w:p>
          <w:p w14:paraId="2C5A3596" w14:textId="77777777" w:rsidR="00670881" w:rsidRPr="001D3548" w:rsidRDefault="00670881" w:rsidP="00670881">
            <w:pPr>
              <w:pStyle w:val="ListParagraph"/>
              <w:numPr>
                <w:ilvl w:val="0"/>
                <w:numId w:val="17"/>
              </w:numPr>
              <w:spacing w:before="60" w:after="0"/>
              <w:ind w:left="284" w:hanging="284"/>
              <w:rPr>
                <w:rFonts w:ascii="Frutiger LT Std 45 Light" w:hAnsi="Frutiger LT Std 45 Light" w:cs="Arial"/>
                <w:b/>
                <w:sz w:val="20"/>
                <w:u w:val="single"/>
              </w:rPr>
            </w:pPr>
            <w:r>
              <w:rPr>
                <w:rFonts w:ascii="Frutiger LT Std 45 Light" w:hAnsi="Frutiger LT Std 45 Light" w:cs="Arial"/>
                <w:color w:val="000000" w:themeColor="text1"/>
                <w:sz w:val="20"/>
              </w:rPr>
              <w:t>S</w:t>
            </w:r>
            <w:r w:rsidRPr="001D3548">
              <w:rPr>
                <w:rFonts w:ascii="Frutiger LT Std 45 Light" w:hAnsi="Frutiger LT Std 45 Light" w:cs="Arial"/>
                <w:color w:val="000000" w:themeColor="text1"/>
                <w:sz w:val="20"/>
              </w:rPr>
              <w:t>tudents.</w:t>
            </w:r>
          </w:p>
          <w:p w14:paraId="01256790" w14:textId="384548EA" w:rsidR="00670881" w:rsidRPr="00873498" w:rsidRDefault="00670881" w:rsidP="00670881">
            <w:pPr>
              <w:widowControl w:val="0"/>
              <w:spacing w:before="62"/>
              <w:ind w:right="-20"/>
              <w:rPr>
                <w:rFonts w:cs="Arial"/>
                <w:b/>
                <w:noProof/>
                <w:sz w:val="20"/>
                <w:lang w:eastAsia="en-GB"/>
              </w:rPr>
            </w:pPr>
          </w:p>
        </w:tc>
      </w:tr>
      <w:tr w:rsidR="00670881" w:rsidRPr="00873498" w14:paraId="71BA8A80" w14:textId="77777777" w:rsidTr="00E75F9F">
        <w:trPr>
          <w:cantSplit/>
          <w:trHeight w:val="5086"/>
        </w:trPr>
        <w:tc>
          <w:tcPr>
            <w:tcW w:w="5000" w:type="pct"/>
            <w:gridSpan w:val="5"/>
          </w:tcPr>
          <w:p w14:paraId="68F3A82B" w14:textId="1518313B" w:rsidR="00670881" w:rsidRPr="003F65D9" w:rsidRDefault="00670881" w:rsidP="00670881">
            <w:pPr>
              <w:pStyle w:val="Heading4"/>
              <w:spacing w:before="60"/>
              <w:jc w:val="both"/>
              <w:rPr>
                <w:rFonts w:cs="Arial"/>
                <w:b w:val="0"/>
                <w:iCs/>
                <w:sz w:val="16"/>
                <w:szCs w:val="16"/>
              </w:rPr>
            </w:pPr>
            <w:r w:rsidRPr="00873498">
              <w:rPr>
                <w:rFonts w:cs="Arial"/>
                <w:sz w:val="20"/>
                <w:u w:val="single"/>
              </w:rPr>
              <w:t xml:space="preserve">Department Structure Chart </w:t>
            </w:r>
          </w:p>
          <w:p w14:paraId="7C35F352" w14:textId="77777777" w:rsidR="00670881" w:rsidRDefault="00670881" w:rsidP="00670881">
            <w:pPr>
              <w:rPr>
                <w:rFonts w:ascii="Arial" w:hAnsi="Arial" w:cs="Arial"/>
                <w:b/>
                <w:noProof/>
                <w:sz w:val="20"/>
                <w:u w:val="single"/>
                <w:lang w:eastAsia="en-GB"/>
              </w:rPr>
            </w:pPr>
          </w:p>
          <w:p w14:paraId="66875AFD" w14:textId="558456A4" w:rsidR="00670881" w:rsidRPr="00873498" w:rsidRDefault="00670881" w:rsidP="00670881">
            <w:pPr>
              <w:jc w:val="left"/>
              <w:rPr>
                <w:rFonts w:ascii="Arial" w:hAnsi="Arial" w:cs="Arial"/>
              </w:rPr>
            </w:pPr>
            <w:r w:rsidRPr="00670881">
              <w:rPr>
                <w:rFonts w:ascii="Arial" w:hAnsi="Arial" w:cs="Arial"/>
                <w:noProof/>
              </w:rPr>
              <w:drawing>
                <wp:inline distT="0" distB="0" distL="0" distR="0" wp14:anchorId="50FCA725" wp14:editId="283B0916">
                  <wp:extent cx="1752096" cy="2214690"/>
                  <wp:effectExtent l="0" t="0" r="635" b="0"/>
                  <wp:docPr id="732841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841201" name=""/>
                          <pic:cNvPicPr/>
                        </pic:nvPicPr>
                        <pic:blipFill>
                          <a:blip r:embed="rId8"/>
                          <a:stretch>
                            <a:fillRect/>
                          </a:stretch>
                        </pic:blipFill>
                        <pic:spPr>
                          <a:xfrm>
                            <a:off x="0" y="0"/>
                            <a:ext cx="1761099" cy="2226070"/>
                          </a:xfrm>
                          <a:prstGeom prst="rect">
                            <a:avLst/>
                          </a:prstGeom>
                        </pic:spPr>
                      </pic:pic>
                    </a:graphicData>
                  </a:graphic>
                </wp:inline>
              </w:drawing>
            </w:r>
          </w:p>
        </w:tc>
      </w:tr>
    </w:tbl>
    <w:p w14:paraId="2CCF0B16" w14:textId="18E479B2" w:rsidR="003005DA" w:rsidRPr="00873498" w:rsidRDefault="003005DA" w:rsidP="00E72474">
      <w:pPr>
        <w:pStyle w:val="Heading4"/>
        <w:spacing w:before="60" w:after="60"/>
        <w:jc w:val="both"/>
        <w:rPr>
          <w:rFonts w:cs="Arial"/>
        </w:rPr>
      </w:pPr>
    </w:p>
    <w:sectPr w:rsidR="003005DA" w:rsidRPr="00873498" w:rsidSect="00974260">
      <w:headerReference w:type="default" r:id="rId9"/>
      <w:pgSz w:w="11909" w:h="16834" w:code="9"/>
      <w:pgMar w:top="-815" w:right="609" w:bottom="272" w:left="1304" w:header="136" w:footer="119"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00E16" w14:textId="77777777" w:rsidR="003A4132" w:rsidRDefault="003A4132">
      <w:r>
        <w:separator/>
      </w:r>
    </w:p>
  </w:endnote>
  <w:endnote w:type="continuationSeparator" w:id="0">
    <w:p w14:paraId="6320F403" w14:textId="77777777" w:rsidR="003A4132" w:rsidRDefault="003A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2749" w14:textId="77777777" w:rsidR="003A4132" w:rsidRDefault="003A4132">
      <w:r>
        <w:separator/>
      </w:r>
    </w:p>
  </w:footnote>
  <w:footnote w:type="continuationSeparator" w:id="0">
    <w:p w14:paraId="1CF6C166" w14:textId="77777777" w:rsidR="003A4132" w:rsidRDefault="003A4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19DC" w14:textId="2A0055E6" w:rsidR="00C30F19" w:rsidRPr="00412CDF" w:rsidRDefault="00344366" w:rsidP="00344366">
    <w:pPr>
      <w:pStyle w:val="Footer"/>
      <w:jc w:val="right"/>
      <w:rPr>
        <w:rFonts w:ascii="Frutiger LT Std 45 Light" w:hAnsi="Frutiger LT Std 45 Light"/>
        <w:sz w:val="22"/>
        <w:szCs w:val="22"/>
      </w:rPr>
    </w:pPr>
    <w:r>
      <w:rPr>
        <w:rFonts w:ascii="Frutiger LT Std 45 Light" w:hAnsi="Frutiger LT Std 45 Light"/>
        <w:noProof/>
        <w:sz w:val="22"/>
        <w:szCs w:val="22"/>
        <w:lang w:eastAsia="en-GB"/>
      </w:rPr>
      <w:drawing>
        <wp:inline distT="0" distB="0" distL="0" distR="0" wp14:anchorId="46666122" wp14:editId="5CC6D5F4">
          <wp:extent cx="1240769" cy="293311"/>
          <wp:effectExtent l="0" t="0" r="0" b="0"/>
          <wp:docPr id="31370547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05478"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93819" cy="3058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C46"/>
    <w:multiLevelType w:val="hybridMultilevel"/>
    <w:tmpl w:val="FAEA81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D620A77"/>
    <w:multiLevelType w:val="hybridMultilevel"/>
    <w:tmpl w:val="61DA8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429CE"/>
    <w:multiLevelType w:val="hybridMultilevel"/>
    <w:tmpl w:val="BA945F4C"/>
    <w:lvl w:ilvl="0" w:tplc="7DB89BF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03A3B5E"/>
    <w:multiLevelType w:val="hybridMultilevel"/>
    <w:tmpl w:val="3BA4885A"/>
    <w:lvl w:ilvl="0" w:tplc="C60A2568">
      <w:start w:val="1"/>
      <w:numFmt w:val="bullet"/>
      <w:lvlText w:val=""/>
      <w:lvlJc w:val="left"/>
      <w:pPr>
        <w:tabs>
          <w:tab w:val="num" w:pos="732"/>
        </w:tabs>
        <w:ind w:left="732" w:hanging="360"/>
      </w:pPr>
      <w:rPr>
        <w:rFonts w:ascii="Symbol" w:hAnsi="Symbol" w:hint="default"/>
        <w:color w:val="003399"/>
      </w:rPr>
    </w:lvl>
    <w:lvl w:ilvl="1" w:tplc="08090003" w:tentative="1">
      <w:start w:val="1"/>
      <w:numFmt w:val="bullet"/>
      <w:lvlText w:val="o"/>
      <w:lvlJc w:val="left"/>
      <w:pPr>
        <w:tabs>
          <w:tab w:val="num" w:pos="1812"/>
        </w:tabs>
        <w:ind w:left="1812" w:hanging="360"/>
      </w:pPr>
      <w:rPr>
        <w:rFonts w:ascii="Courier New" w:hAnsi="Courier New" w:cs="Courier New" w:hint="default"/>
      </w:rPr>
    </w:lvl>
    <w:lvl w:ilvl="2" w:tplc="08090005" w:tentative="1">
      <w:start w:val="1"/>
      <w:numFmt w:val="bullet"/>
      <w:lvlText w:val=""/>
      <w:lvlJc w:val="left"/>
      <w:pPr>
        <w:tabs>
          <w:tab w:val="num" w:pos="2532"/>
        </w:tabs>
        <w:ind w:left="2532" w:hanging="360"/>
      </w:pPr>
      <w:rPr>
        <w:rFonts w:ascii="Wingdings" w:hAnsi="Wingdings" w:hint="default"/>
      </w:rPr>
    </w:lvl>
    <w:lvl w:ilvl="3" w:tplc="08090001" w:tentative="1">
      <w:start w:val="1"/>
      <w:numFmt w:val="bullet"/>
      <w:lvlText w:val=""/>
      <w:lvlJc w:val="left"/>
      <w:pPr>
        <w:tabs>
          <w:tab w:val="num" w:pos="3252"/>
        </w:tabs>
        <w:ind w:left="3252" w:hanging="360"/>
      </w:pPr>
      <w:rPr>
        <w:rFonts w:ascii="Symbol" w:hAnsi="Symbol" w:hint="default"/>
      </w:rPr>
    </w:lvl>
    <w:lvl w:ilvl="4" w:tplc="08090003" w:tentative="1">
      <w:start w:val="1"/>
      <w:numFmt w:val="bullet"/>
      <w:lvlText w:val="o"/>
      <w:lvlJc w:val="left"/>
      <w:pPr>
        <w:tabs>
          <w:tab w:val="num" w:pos="3972"/>
        </w:tabs>
        <w:ind w:left="3972" w:hanging="360"/>
      </w:pPr>
      <w:rPr>
        <w:rFonts w:ascii="Courier New" w:hAnsi="Courier New" w:cs="Courier New" w:hint="default"/>
      </w:rPr>
    </w:lvl>
    <w:lvl w:ilvl="5" w:tplc="08090005" w:tentative="1">
      <w:start w:val="1"/>
      <w:numFmt w:val="bullet"/>
      <w:lvlText w:val=""/>
      <w:lvlJc w:val="left"/>
      <w:pPr>
        <w:tabs>
          <w:tab w:val="num" w:pos="4692"/>
        </w:tabs>
        <w:ind w:left="4692" w:hanging="360"/>
      </w:pPr>
      <w:rPr>
        <w:rFonts w:ascii="Wingdings" w:hAnsi="Wingdings" w:hint="default"/>
      </w:rPr>
    </w:lvl>
    <w:lvl w:ilvl="6" w:tplc="08090001" w:tentative="1">
      <w:start w:val="1"/>
      <w:numFmt w:val="bullet"/>
      <w:lvlText w:val=""/>
      <w:lvlJc w:val="left"/>
      <w:pPr>
        <w:tabs>
          <w:tab w:val="num" w:pos="5412"/>
        </w:tabs>
        <w:ind w:left="5412" w:hanging="360"/>
      </w:pPr>
      <w:rPr>
        <w:rFonts w:ascii="Symbol" w:hAnsi="Symbol" w:hint="default"/>
      </w:rPr>
    </w:lvl>
    <w:lvl w:ilvl="7" w:tplc="08090003" w:tentative="1">
      <w:start w:val="1"/>
      <w:numFmt w:val="bullet"/>
      <w:lvlText w:val="o"/>
      <w:lvlJc w:val="left"/>
      <w:pPr>
        <w:tabs>
          <w:tab w:val="num" w:pos="6132"/>
        </w:tabs>
        <w:ind w:left="6132" w:hanging="360"/>
      </w:pPr>
      <w:rPr>
        <w:rFonts w:ascii="Courier New" w:hAnsi="Courier New" w:cs="Courier New" w:hint="default"/>
      </w:rPr>
    </w:lvl>
    <w:lvl w:ilvl="8" w:tplc="08090005" w:tentative="1">
      <w:start w:val="1"/>
      <w:numFmt w:val="bullet"/>
      <w:lvlText w:val=""/>
      <w:lvlJc w:val="left"/>
      <w:pPr>
        <w:tabs>
          <w:tab w:val="num" w:pos="6852"/>
        </w:tabs>
        <w:ind w:left="6852" w:hanging="360"/>
      </w:pPr>
      <w:rPr>
        <w:rFonts w:ascii="Wingdings" w:hAnsi="Wingdings" w:hint="default"/>
      </w:rPr>
    </w:lvl>
  </w:abstractNum>
  <w:abstractNum w:abstractNumId="4" w15:restartNumberingAfterBreak="0">
    <w:nsid w:val="15091BD8"/>
    <w:multiLevelType w:val="hybridMultilevel"/>
    <w:tmpl w:val="499C37E6"/>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3670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DB4A86"/>
    <w:multiLevelType w:val="multilevel"/>
    <w:tmpl w:val="7AD60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F9114F"/>
    <w:multiLevelType w:val="hybridMultilevel"/>
    <w:tmpl w:val="E1EA536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24854CB7"/>
    <w:multiLevelType w:val="hybridMultilevel"/>
    <w:tmpl w:val="AB40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DD3E7D"/>
    <w:multiLevelType w:val="hybridMultilevel"/>
    <w:tmpl w:val="FA2067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EB585E"/>
    <w:multiLevelType w:val="hybridMultilevel"/>
    <w:tmpl w:val="4E4AD9F0"/>
    <w:lvl w:ilvl="0" w:tplc="BBC65264">
      <w:start w:val="1"/>
      <w:numFmt w:val="bullet"/>
      <w:lvlText w:val="-"/>
      <w:lvlJc w:val="left"/>
      <w:pPr>
        <w:tabs>
          <w:tab w:val="num" w:pos="717"/>
        </w:tabs>
        <w:ind w:left="717" w:hanging="360"/>
      </w:pPr>
      <w:rPr>
        <w:rFonts w:ascii="Arial" w:hAnsi="Aria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2942795D"/>
    <w:multiLevelType w:val="multilevel"/>
    <w:tmpl w:val="4F109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040498"/>
    <w:multiLevelType w:val="hybridMultilevel"/>
    <w:tmpl w:val="F96C67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ECD3B3A"/>
    <w:multiLevelType w:val="hybridMultilevel"/>
    <w:tmpl w:val="BBF67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3A6D8F"/>
    <w:multiLevelType w:val="hybridMultilevel"/>
    <w:tmpl w:val="5BE004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0963559"/>
    <w:multiLevelType w:val="hybridMultilevel"/>
    <w:tmpl w:val="A106EE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0B43808"/>
    <w:multiLevelType w:val="hybridMultilevel"/>
    <w:tmpl w:val="5E0A01FC"/>
    <w:lvl w:ilvl="0" w:tplc="08090001">
      <w:start w:val="1"/>
      <w:numFmt w:val="bullet"/>
      <w:lvlText w:val=""/>
      <w:lvlJc w:val="left"/>
      <w:pPr>
        <w:ind w:left="376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332093"/>
    <w:multiLevelType w:val="hybridMultilevel"/>
    <w:tmpl w:val="E0326F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2216588"/>
    <w:multiLevelType w:val="multilevel"/>
    <w:tmpl w:val="9AB6D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4F0B71"/>
    <w:multiLevelType w:val="hybridMultilevel"/>
    <w:tmpl w:val="515CC66C"/>
    <w:lvl w:ilvl="0" w:tplc="62DABC6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20" w15:restartNumberingAfterBreak="0">
    <w:nsid w:val="38891A87"/>
    <w:multiLevelType w:val="hybridMultilevel"/>
    <w:tmpl w:val="BCD6F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361A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B7E0574"/>
    <w:multiLevelType w:val="hybridMultilevel"/>
    <w:tmpl w:val="6CB4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1B1AA9"/>
    <w:multiLevelType w:val="hybridMultilevel"/>
    <w:tmpl w:val="1506EC8A"/>
    <w:lvl w:ilvl="0" w:tplc="0809000F">
      <w:start w:val="1"/>
      <w:numFmt w:val="decimal"/>
      <w:lvlText w:val="%1."/>
      <w:lvlJc w:val="left"/>
      <w:pPr>
        <w:ind w:left="1080" w:hanging="360"/>
      </w:pPr>
    </w:lvl>
    <w:lvl w:ilvl="1" w:tplc="0809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3723B1C"/>
    <w:multiLevelType w:val="hybridMultilevel"/>
    <w:tmpl w:val="48C88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93C4CCB"/>
    <w:multiLevelType w:val="hybridMultilevel"/>
    <w:tmpl w:val="2B74605C"/>
    <w:lvl w:ilvl="0" w:tplc="3FBA182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976125"/>
    <w:multiLevelType w:val="hybridMultilevel"/>
    <w:tmpl w:val="30881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1F4793"/>
    <w:multiLevelType w:val="hybridMultilevel"/>
    <w:tmpl w:val="0B90170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8" w15:restartNumberingAfterBreak="0">
    <w:nsid w:val="592E79C1"/>
    <w:multiLevelType w:val="hybridMultilevel"/>
    <w:tmpl w:val="0420B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217D37"/>
    <w:multiLevelType w:val="multilevel"/>
    <w:tmpl w:val="F170F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7D0A92"/>
    <w:multiLevelType w:val="multilevel"/>
    <w:tmpl w:val="542EB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F81E36"/>
    <w:multiLevelType w:val="hybridMultilevel"/>
    <w:tmpl w:val="8F16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623685"/>
    <w:multiLevelType w:val="multilevel"/>
    <w:tmpl w:val="BA642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95609B"/>
    <w:multiLevelType w:val="multilevel"/>
    <w:tmpl w:val="C18CD39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2F71E5"/>
    <w:multiLevelType w:val="multilevel"/>
    <w:tmpl w:val="6AA01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AC6B77"/>
    <w:multiLevelType w:val="hybridMultilevel"/>
    <w:tmpl w:val="218C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C65609"/>
    <w:multiLevelType w:val="hybridMultilevel"/>
    <w:tmpl w:val="B9D6B6F4"/>
    <w:lvl w:ilvl="0" w:tplc="EF54203C">
      <w:start w:val="1"/>
      <w:numFmt w:val="bullet"/>
      <w:lvlText w:val=""/>
      <w:lvlJc w:val="left"/>
      <w:pPr>
        <w:tabs>
          <w:tab w:val="num" w:pos="360"/>
        </w:tabs>
        <w:ind w:left="284" w:hanging="284"/>
      </w:pPr>
      <w:rPr>
        <w:rFonts w:ascii="Wingdings" w:hAnsi="Wingdings" w:hint="default"/>
        <w:color w:val="6600CC"/>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501168089">
    <w:abstractNumId w:val="5"/>
  </w:num>
  <w:num w:numId="2" w16cid:durableId="119032836">
    <w:abstractNumId w:val="21"/>
  </w:num>
  <w:num w:numId="3" w16cid:durableId="205066211">
    <w:abstractNumId w:val="10"/>
  </w:num>
  <w:num w:numId="4" w16cid:durableId="2060548311">
    <w:abstractNumId w:val="19"/>
  </w:num>
  <w:num w:numId="5" w16cid:durableId="473186235">
    <w:abstractNumId w:val="3"/>
  </w:num>
  <w:num w:numId="6" w16cid:durableId="508910714">
    <w:abstractNumId w:val="26"/>
  </w:num>
  <w:num w:numId="7" w16cid:durableId="1118135278">
    <w:abstractNumId w:val="14"/>
  </w:num>
  <w:num w:numId="8" w16cid:durableId="1544903160">
    <w:abstractNumId w:val="15"/>
  </w:num>
  <w:num w:numId="9" w16cid:durableId="854078974">
    <w:abstractNumId w:val="17"/>
  </w:num>
  <w:num w:numId="10" w16cid:durableId="1853491059">
    <w:abstractNumId w:val="27"/>
  </w:num>
  <w:num w:numId="11" w16cid:durableId="495073438">
    <w:abstractNumId w:val="12"/>
  </w:num>
  <w:num w:numId="12" w16cid:durableId="31392773">
    <w:abstractNumId w:val="0"/>
  </w:num>
  <w:num w:numId="13" w16cid:durableId="993338210">
    <w:abstractNumId w:val="24"/>
  </w:num>
  <w:num w:numId="14" w16cid:durableId="1007901159">
    <w:abstractNumId w:val="31"/>
  </w:num>
  <w:num w:numId="15" w16cid:durableId="290289542">
    <w:abstractNumId w:val="1"/>
  </w:num>
  <w:num w:numId="16" w16cid:durableId="1029914830">
    <w:abstractNumId w:val="8"/>
  </w:num>
  <w:num w:numId="17" w16cid:durableId="233206486">
    <w:abstractNumId w:val="35"/>
  </w:num>
  <w:num w:numId="18" w16cid:durableId="249777588">
    <w:abstractNumId w:val="16"/>
  </w:num>
  <w:num w:numId="19" w16cid:durableId="154536923">
    <w:abstractNumId w:val="22"/>
  </w:num>
  <w:num w:numId="20" w16cid:durableId="360908019">
    <w:abstractNumId w:val="36"/>
  </w:num>
  <w:num w:numId="21" w16cid:durableId="2094931216">
    <w:abstractNumId w:val="23"/>
  </w:num>
  <w:num w:numId="22" w16cid:durableId="1464618455">
    <w:abstractNumId w:val="20"/>
  </w:num>
  <w:num w:numId="23" w16cid:durableId="696934424">
    <w:abstractNumId w:val="2"/>
  </w:num>
  <w:num w:numId="24" w16cid:durableId="1886328033">
    <w:abstractNumId w:val="4"/>
  </w:num>
  <w:num w:numId="25" w16cid:durableId="1346980875">
    <w:abstractNumId w:val="9"/>
  </w:num>
  <w:num w:numId="26" w16cid:durableId="988940601">
    <w:abstractNumId w:val="33"/>
  </w:num>
  <w:num w:numId="27" w16cid:durableId="1996567635">
    <w:abstractNumId w:val="28"/>
  </w:num>
  <w:num w:numId="28" w16cid:durableId="959266228">
    <w:abstractNumId w:val="13"/>
  </w:num>
  <w:num w:numId="29" w16cid:durableId="923799751">
    <w:abstractNumId w:val="25"/>
  </w:num>
  <w:num w:numId="30" w16cid:durableId="310209286">
    <w:abstractNumId w:val="7"/>
  </w:num>
  <w:num w:numId="31" w16cid:durableId="1188060892">
    <w:abstractNumId w:val="32"/>
  </w:num>
  <w:num w:numId="32" w16cid:durableId="2093500328">
    <w:abstractNumId w:val="34"/>
  </w:num>
  <w:num w:numId="33" w16cid:durableId="1899053555">
    <w:abstractNumId w:val="29"/>
  </w:num>
  <w:num w:numId="34" w16cid:durableId="833566504">
    <w:abstractNumId w:val="18"/>
  </w:num>
  <w:num w:numId="35" w16cid:durableId="1906329610">
    <w:abstractNumId w:val="6"/>
  </w:num>
  <w:num w:numId="36" w16cid:durableId="27293821">
    <w:abstractNumId w:val="11"/>
  </w:num>
  <w:num w:numId="37" w16cid:durableId="133040482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fill="f" fillcolor="white" stroke="f">
      <v:fill color="white" on="f"/>
      <v:stroke on="f"/>
      <o:colormru v:ext="edit" colors="#c1e0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304"/>
    <w:rsid w:val="00013161"/>
    <w:rsid w:val="00015E69"/>
    <w:rsid w:val="00026495"/>
    <w:rsid w:val="000279E5"/>
    <w:rsid w:val="00034A01"/>
    <w:rsid w:val="00035814"/>
    <w:rsid w:val="00040484"/>
    <w:rsid w:val="00055F37"/>
    <w:rsid w:val="0005714A"/>
    <w:rsid w:val="00065A6D"/>
    <w:rsid w:val="0007329B"/>
    <w:rsid w:val="00084557"/>
    <w:rsid w:val="00085B50"/>
    <w:rsid w:val="00085E2C"/>
    <w:rsid w:val="000B2714"/>
    <w:rsid w:val="000D30F1"/>
    <w:rsid w:val="000E0113"/>
    <w:rsid w:val="000E6348"/>
    <w:rsid w:val="000F0A73"/>
    <w:rsid w:val="000F3FA0"/>
    <w:rsid w:val="00125854"/>
    <w:rsid w:val="00127C6C"/>
    <w:rsid w:val="00137219"/>
    <w:rsid w:val="001559C4"/>
    <w:rsid w:val="00187F3E"/>
    <w:rsid w:val="001A3818"/>
    <w:rsid w:val="001A6A76"/>
    <w:rsid w:val="001B5840"/>
    <w:rsid w:val="001B59CC"/>
    <w:rsid w:val="001C75B3"/>
    <w:rsid w:val="001D20C1"/>
    <w:rsid w:val="001D4695"/>
    <w:rsid w:val="001F4FC7"/>
    <w:rsid w:val="00203C46"/>
    <w:rsid w:val="002063C8"/>
    <w:rsid w:val="002074C9"/>
    <w:rsid w:val="0020794B"/>
    <w:rsid w:val="00214EF5"/>
    <w:rsid w:val="00222E98"/>
    <w:rsid w:val="002237A4"/>
    <w:rsid w:val="00224799"/>
    <w:rsid w:val="0023324C"/>
    <w:rsid w:val="002412A5"/>
    <w:rsid w:val="00242E90"/>
    <w:rsid w:val="00245A8F"/>
    <w:rsid w:val="00245DFF"/>
    <w:rsid w:val="00247892"/>
    <w:rsid w:val="00251F07"/>
    <w:rsid w:val="0025249C"/>
    <w:rsid w:val="00255973"/>
    <w:rsid w:val="002604CB"/>
    <w:rsid w:val="002605C6"/>
    <w:rsid w:val="0026178E"/>
    <w:rsid w:val="00261C9B"/>
    <w:rsid w:val="002668D5"/>
    <w:rsid w:val="002706BC"/>
    <w:rsid w:val="002730FE"/>
    <w:rsid w:val="0027322D"/>
    <w:rsid w:val="0027653C"/>
    <w:rsid w:val="00284CE9"/>
    <w:rsid w:val="00285322"/>
    <w:rsid w:val="00294911"/>
    <w:rsid w:val="002A1DE4"/>
    <w:rsid w:val="002B2A58"/>
    <w:rsid w:val="002B4513"/>
    <w:rsid w:val="002C2169"/>
    <w:rsid w:val="002C452C"/>
    <w:rsid w:val="002E2C2C"/>
    <w:rsid w:val="002E2DA3"/>
    <w:rsid w:val="002F670E"/>
    <w:rsid w:val="003005DA"/>
    <w:rsid w:val="00303900"/>
    <w:rsid w:val="00314664"/>
    <w:rsid w:val="00315D2E"/>
    <w:rsid w:val="0032054A"/>
    <w:rsid w:val="003241CA"/>
    <w:rsid w:val="0032677A"/>
    <w:rsid w:val="00336262"/>
    <w:rsid w:val="003374B2"/>
    <w:rsid w:val="003441D6"/>
    <w:rsid w:val="00344366"/>
    <w:rsid w:val="00366546"/>
    <w:rsid w:val="00375554"/>
    <w:rsid w:val="00382D01"/>
    <w:rsid w:val="003A033E"/>
    <w:rsid w:val="003A4132"/>
    <w:rsid w:val="003B2FA4"/>
    <w:rsid w:val="003B7C1D"/>
    <w:rsid w:val="003C76DF"/>
    <w:rsid w:val="003C7C6F"/>
    <w:rsid w:val="003E504E"/>
    <w:rsid w:val="003F65D9"/>
    <w:rsid w:val="00400AAA"/>
    <w:rsid w:val="00403E90"/>
    <w:rsid w:val="00405A30"/>
    <w:rsid w:val="00412CDF"/>
    <w:rsid w:val="004166EC"/>
    <w:rsid w:val="004246B1"/>
    <w:rsid w:val="0043309F"/>
    <w:rsid w:val="00437DF8"/>
    <w:rsid w:val="00442B46"/>
    <w:rsid w:val="00444648"/>
    <w:rsid w:val="00463094"/>
    <w:rsid w:val="00463FA2"/>
    <w:rsid w:val="004644CD"/>
    <w:rsid w:val="0046552A"/>
    <w:rsid w:val="004661B6"/>
    <w:rsid w:val="00472700"/>
    <w:rsid w:val="00482491"/>
    <w:rsid w:val="004839A4"/>
    <w:rsid w:val="00485F69"/>
    <w:rsid w:val="00486EFC"/>
    <w:rsid w:val="00494474"/>
    <w:rsid w:val="004A08C8"/>
    <w:rsid w:val="004A446C"/>
    <w:rsid w:val="004B31D4"/>
    <w:rsid w:val="004C01B6"/>
    <w:rsid w:val="004C446D"/>
    <w:rsid w:val="004D135A"/>
    <w:rsid w:val="004E3E9F"/>
    <w:rsid w:val="004F0938"/>
    <w:rsid w:val="004F3677"/>
    <w:rsid w:val="004F688D"/>
    <w:rsid w:val="0050633C"/>
    <w:rsid w:val="00511EAC"/>
    <w:rsid w:val="00516751"/>
    <w:rsid w:val="005207AD"/>
    <w:rsid w:val="0054031A"/>
    <w:rsid w:val="0054239E"/>
    <w:rsid w:val="00543525"/>
    <w:rsid w:val="00544CD9"/>
    <w:rsid w:val="005712D9"/>
    <w:rsid w:val="0058198C"/>
    <w:rsid w:val="00584E86"/>
    <w:rsid w:val="00587A4B"/>
    <w:rsid w:val="005958D6"/>
    <w:rsid w:val="005A7D01"/>
    <w:rsid w:val="005B368F"/>
    <w:rsid w:val="005B6C47"/>
    <w:rsid w:val="005C0FF1"/>
    <w:rsid w:val="005C34EA"/>
    <w:rsid w:val="005D2CF0"/>
    <w:rsid w:val="005D7F9E"/>
    <w:rsid w:val="005D7FDF"/>
    <w:rsid w:val="005E7D61"/>
    <w:rsid w:val="005F2AA2"/>
    <w:rsid w:val="005F6B00"/>
    <w:rsid w:val="005F6CA5"/>
    <w:rsid w:val="005F7D4E"/>
    <w:rsid w:val="00610365"/>
    <w:rsid w:val="00610D21"/>
    <w:rsid w:val="00614BEC"/>
    <w:rsid w:val="00622053"/>
    <w:rsid w:val="00623004"/>
    <w:rsid w:val="00623B19"/>
    <w:rsid w:val="006360F7"/>
    <w:rsid w:val="006369DB"/>
    <w:rsid w:val="00646109"/>
    <w:rsid w:val="00650A81"/>
    <w:rsid w:val="006528AC"/>
    <w:rsid w:val="006530B6"/>
    <w:rsid w:val="0066058A"/>
    <w:rsid w:val="00667166"/>
    <w:rsid w:val="00667B30"/>
    <w:rsid w:val="00670881"/>
    <w:rsid w:val="006817F4"/>
    <w:rsid w:val="00687A6A"/>
    <w:rsid w:val="006A7446"/>
    <w:rsid w:val="006B0506"/>
    <w:rsid w:val="006C1451"/>
    <w:rsid w:val="006C2FB7"/>
    <w:rsid w:val="006E3383"/>
    <w:rsid w:val="006E6836"/>
    <w:rsid w:val="00710B34"/>
    <w:rsid w:val="00711CCC"/>
    <w:rsid w:val="00721424"/>
    <w:rsid w:val="00731B83"/>
    <w:rsid w:val="00736A38"/>
    <w:rsid w:val="00750CE2"/>
    <w:rsid w:val="00763B59"/>
    <w:rsid w:val="00770FD1"/>
    <w:rsid w:val="00791F33"/>
    <w:rsid w:val="007A1FC3"/>
    <w:rsid w:val="007A4BED"/>
    <w:rsid w:val="007B1A8E"/>
    <w:rsid w:val="007B21EA"/>
    <w:rsid w:val="007B34CB"/>
    <w:rsid w:val="007B37AC"/>
    <w:rsid w:val="007C0639"/>
    <w:rsid w:val="007D0039"/>
    <w:rsid w:val="007D7EB6"/>
    <w:rsid w:val="0080250C"/>
    <w:rsid w:val="00810DB2"/>
    <w:rsid w:val="008303A7"/>
    <w:rsid w:val="00836EE5"/>
    <w:rsid w:val="00873498"/>
    <w:rsid w:val="00886A8A"/>
    <w:rsid w:val="008A2247"/>
    <w:rsid w:val="008A2850"/>
    <w:rsid w:val="008A2E08"/>
    <w:rsid w:val="008A3522"/>
    <w:rsid w:val="008B0F1D"/>
    <w:rsid w:val="008C74EC"/>
    <w:rsid w:val="008E3918"/>
    <w:rsid w:val="008F29A1"/>
    <w:rsid w:val="008F5F31"/>
    <w:rsid w:val="00920447"/>
    <w:rsid w:val="00922917"/>
    <w:rsid w:val="00922E3E"/>
    <w:rsid w:val="00926236"/>
    <w:rsid w:val="00940F76"/>
    <w:rsid w:val="00955313"/>
    <w:rsid w:val="00955445"/>
    <w:rsid w:val="00960DAB"/>
    <w:rsid w:val="00973803"/>
    <w:rsid w:val="00974260"/>
    <w:rsid w:val="00995918"/>
    <w:rsid w:val="009A120D"/>
    <w:rsid w:val="009A1ABA"/>
    <w:rsid w:val="009B56AC"/>
    <w:rsid w:val="009E4CA5"/>
    <w:rsid w:val="009E6061"/>
    <w:rsid w:val="009E716C"/>
    <w:rsid w:val="009F5403"/>
    <w:rsid w:val="00A057E7"/>
    <w:rsid w:val="00A14C2A"/>
    <w:rsid w:val="00A22BE1"/>
    <w:rsid w:val="00A234EA"/>
    <w:rsid w:val="00A2625E"/>
    <w:rsid w:val="00A42997"/>
    <w:rsid w:val="00A42B1E"/>
    <w:rsid w:val="00A536D2"/>
    <w:rsid w:val="00A647F8"/>
    <w:rsid w:val="00A65E42"/>
    <w:rsid w:val="00A826F6"/>
    <w:rsid w:val="00AA012F"/>
    <w:rsid w:val="00AA4FD6"/>
    <w:rsid w:val="00AB0683"/>
    <w:rsid w:val="00AB39B5"/>
    <w:rsid w:val="00AC4304"/>
    <w:rsid w:val="00AD5C4E"/>
    <w:rsid w:val="00AF0778"/>
    <w:rsid w:val="00B00599"/>
    <w:rsid w:val="00B03D22"/>
    <w:rsid w:val="00B06668"/>
    <w:rsid w:val="00B1712E"/>
    <w:rsid w:val="00B24036"/>
    <w:rsid w:val="00B30BFC"/>
    <w:rsid w:val="00B325C8"/>
    <w:rsid w:val="00B34854"/>
    <w:rsid w:val="00B41B81"/>
    <w:rsid w:val="00B62C7C"/>
    <w:rsid w:val="00B715F6"/>
    <w:rsid w:val="00B7438D"/>
    <w:rsid w:val="00B77ACC"/>
    <w:rsid w:val="00B94639"/>
    <w:rsid w:val="00B972BC"/>
    <w:rsid w:val="00BA0E14"/>
    <w:rsid w:val="00BB1C89"/>
    <w:rsid w:val="00BE18C4"/>
    <w:rsid w:val="00BE70B4"/>
    <w:rsid w:val="00BF6FA8"/>
    <w:rsid w:val="00C035D7"/>
    <w:rsid w:val="00C03922"/>
    <w:rsid w:val="00C15BA2"/>
    <w:rsid w:val="00C208EC"/>
    <w:rsid w:val="00C305E5"/>
    <w:rsid w:val="00C30F19"/>
    <w:rsid w:val="00C33C32"/>
    <w:rsid w:val="00C34318"/>
    <w:rsid w:val="00C45B87"/>
    <w:rsid w:val="00C66445"/>
    <w:rsid w:val="00C71CA3"/>
    <w:rsid w:val="00C73CA2"/>
    <w:rsid w:val="00C83F0D"/>
    <w:rsid w:val="00CA2135"/>
    <w:rsid w:val="00CA34DD"/>
    <w:rsid w:val="00CA6A30"/>
    <w:rsid w:val="00CB2432"/>
    <w:rsid w:val="00CB2784"/>
    <w:rsid w:val="00CB44F2"/>
    <w:rsid w:val="00CC40B8"/>
    <w:rsid w:val="00CC466A"/>
    <w:rsid w:val="00CC4BC5"/>
    <w:rsid w:val="00CC75BF"/>
    <w:rsid w:val="00CC7F94"/>
    <w:rsid w:val="00CD23D5"/>
    <w:rsid w:val="00CD2817"/>
    <w:rsid w:val="00CE1DD1"/>
    <w:rsid w:val="00CE207A"/>
    <w:rsid w:val="00CF1684"/>
    <w:rsid w:val="00CF4F7B"/>
    <w:rsid w:val="00D04F05"/>
    <w:rsid w:val="00D07A23"/>
    <w:rsid w:val="00D23979"/>
    <w:rsid w:val="00D32CB7"/>
    <w:rsid w:val="00D32EE1"/>
    <w:rsid w:val="00D42C84"/>
    <w:rsid w:val="00D47AE2"/>
    <w:rsid w:val="00D53A7B"/>
    <w:rsid w:val="00D60955"/>
    <w:rsid w:val="00D62976"/>
    <w:rsid w:val="00D64440"/>
    <w:rsid w:val="00DA2CEA"/>
    <w:rsid w:val="00DA55F8"/>
    <w:rsid w:val="00DB1EAE"/>
    <w:rsid w:val="00DE0EB7"/>
    <w:rsid w:val="00DF03F5"/>
    <w:rsid w:val="00E1373F"/>
    <w:rsid w:val="00E21D51"/>
    <w:rsid w:val="00E30A79"/>
    <w:rsid w:val="00E33E3D"/>
    <w:rsid w:val="00E4006C"/>
    <w:rsid w:val="00E44605"/>
    <w:rsid w:val="00E53CC1"/>
    <w:rsid w:val="00E633EB"/>
    <w:rsid w:val="00E6790E"/>
    <w:rsid w:val="00E72474"/>
    <w:rsid w:val="00E75F9F"/>
    <w:rsid w:val="00E87893"/>
    <w:rsid w:val="00E91A0B"/>
    <w:rsid w:val="00E97580"/>
    <w:rsid w:val="00EA1EEB"/>
    <w:rsid w:val="00EA387D"/>
    <w:rsid w:val="00EA466F"/>
    <w:rsid w:val="00EA4CB2"/>
    <w:rsid w:val="00EA5A73"/>
    <w:rsid w:val="00EA7094"/>
    <w:rsid w:val="00EE3CD6"/>
    <w:rsid w:val="00EE7676"/>
    <w:rsid w:val="00EF1D24"/>
    <w:rsid w:val="00EF2119"/>
    <w:rsid w:val="00EF44C9"/>
    <w:rsid w:val="00F06980"/>
    <w:rsid w:val="00F10F6F"/>
    <w:rsid w:val="00F14D7B"/>
    <w:rsid w:val="00F32589"/>
    <w:rsid w:val="00F44969"/>
    <w:rsid w:val="00F4644B"/>
    <w:rsid w:val="00F6375A"/>
    <w:rsid w:val="00F72AFB"/>
    <w:rsid w:val="00F73193"/>
    <w:rsid w:val="00F76847"/>
    <w:rsid w:val="00F80FC0"/>
    <w:rsid w:val="00F815AF"/>
    <w:rsid w:val="00FA1208"/>
    <w:rsid w:val="00FA56E0"/>
    <w:rsid w:val="00FC0169"/>
    <w:rsid w:val="00FD2ACC"/>
    <w:rsid w:val="00FD6CC7"/>
    <w:rsid w:val="00FF74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c1e0ff"/>
    </o:shapedefaults>
    <o:shapelayout v:ext="edit">
      <o:idmap v:ext="edit" data="2"/>
    </o:shapelayout>
  </w:shapeDefaults>
  <w:decimalSymbol w:val="."/>
  <w:listSeparator w:val=","/>
  <w14:docId w14:val="157D3B82"/>
  <w15:docId w15:val="{45279845-E683-44BC-A41F-428E82F4F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304"/>
    <w:pPr>
      <w:spacing w:after="240"/>
      <w:jc w:val="both"/>
    </w:pPr>
    <w:rPr>
      <w:sz w:val="24"/>
      <w:lang w:eastAsia="en-US"/>
    </w:rPr>
  </w:style>
  <w:style w:type="paragraph" w:styleId="Heading3">
    <w:name w:val="heading 3"/>
    <w:basedOn w:val="Normal"/>
    <w:next w:val="Normal"/>
    <w:qFormat/>
    <w:rsid w:val="00AC4304"/>
    <w:pPr>
      <w:keepNext/>
      <w:spacing w:before="120" w:after="180"/>
      <w:jc w:val="left"/>
      <w:outlineLvl w:val="2"/>
    </w:pPr>
    <w:rPr>
      <w:rFonts w:ascii="Arial" w:hAnsi="Arial"/>
      <w:b/>
      <w:sz w:val="26"/>
    </w:rPr>
  </w:style>
  <w:style w:type="paragraph" w:styleId="Heading4">
    <w:name w:val="heading 4"/>
    <w:basedOn w:val="Normal"/>
    <w:next w:val="Normal"/>
    <w:link w:val="Heading4Char"/>
    <w:qFormat/>
    <w:rsid w:val="00AC4304"/>
    <w:pPr>
      <w:keepNext/>
      <w:spacing w:after="0"/>
      <w:jc w:val="lef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rsid w:val="00AC4304"/>
    <w:pPr>
      <w:tabs>
        <w:tab w:val="center" w:pos="4153"/>
        <w:tab w:val="right" w:pos="8306"/>
      </w:tabs>
    </w:pPr>
  </w:style>
  <w:style w:type="paragraph" w:styleId="Footer">
    <w:name w:val="footer"/>
    <w:basedOn w:val="Normal"/>
    <w:rsid w:val="00AC4304"/>
    <w:pPr>
      <w:tabs>
        <w:tab w:val="center" w:pos="4153"/>
        <w:tab w:val="right" w:pos="8306"/>
      </w:tabs>
    </w:pPr>
  </w:style>
  <w:style w:type="paragraph" w:styleId="BodyText">
    <w:name w:val="Body Text"/>
    <w:basedOn w:val="Normal"/>
    <w:rsid w:val="00AC4304"/>
    <w:pPr>
      <w:tabs>
        <w:tab w:val="left" w:pos="0"/>
      </w:tabs>
      <w:suppressAutoHyphens/>
      <w:overflowPunct w:val="0"/>
      <w:autoSpaceDE w:val="0"/>
      <w:autoSpaceDN w:val="0"/>
      <w:adjustRightInd w:val="0"/>
      <w:spacing w:after="0"/>
      <w:jc w:val="left"/>
      <w:textAlignment w:val="baseline"/>
    </w:pPr>
    <w:rPr>
      <w:sz w:val="20"/>
    </w:rPr>
  </w:style>
  <w:style w:type="paragraph" w:styleId="EndnoteText">
    <w:name w:val="endnote text"/>
    <w:basedOn w:val="Normal"/>
    <w:semiHidden/>
    <w:rsid w:val="00AC4304"/>
    <w:pPr>
      <w:widowControl w:val="0"/>
      <w:spacing w:after="0"/>
      <w:jc w:val="left"/>
    </w:pPr>
    <w:rPr>
      <w:rFonts w:ascii="CG Times" w:hAnsi="CG Times"/>
      <w:snapToGrid w:val="0"/>
      <w:lang w:val="en-US"/>
    </w:rPr>
  </w:style>
  <w:style w:type="paragraph" w:styleId="BodyText2">
    <w:name w:val="Body Text 2"/>
    <w:basedOn w:val="Normal"/>
    <w:rsid w:val="00AC4304"/>
    <w:rPr>
      <w:sz w:val="20"/>
    </w:rPr>
  </w:style>
  <w:style w:type="paragraph" w:styleId="BodyText3">
    <w:name w:val="Body Text 3"/>
    <w:basedOn w:val="Normal"/>
    <w:rsid w:val="00AC4304"/>
    <w:pPr>
      <w:tabs>
        <w:tab w:val="left" w:pos="0"/>
      </w:tabs>
      <w:suppressAutoHyphens/>
    </w:pPr>
    <w:rPr>
      <w:rFonts w:ascii="Arial" w:hAnsi="Arial"/>
      <w:sz w:val="22"/>
    </w:rPr>
  </w:style>
  <w:style w:type="table" w:styleId="TableGrid">
    <w:name w:val="Table Grid"/>
    <w:basedOn w:val="TableNormal"/>
    <w:rsid w:val="00EA4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0250C"/>
    <w:pPr>
      <w:spacing w:after="120"/>
      <w:ind w:left="283"/>
    </w:pPr>
  </w:style>
  <w:style w:type="paragraph" w:styleId="BalloonText">
    <w:name w:val="Balloon Text"/>
    <w:basedOn w:val="Normal"/>
    <w:semiHidden/>
    <w:rsid w:val="00CA6A30"/>
    <w:rPr>
      <w:rFonts w:ascii="Tahoma" w:hAnsi="Tahoma" w:cs="Tahoma"/>
      <w:sz w:val="16"/>
      <w:szCs w:val="16"/>
    </w:rPr>
  </w:style>
  <w:style w:type="paragraph" w:styleId="FootnoteText">
    <w:name w:val="footnote text"/>
    <w:basedOn w:val="Normal"/>
    <w:semiHidden/>
    <w:rsid w:val="00303900"/>
    <w:rPr>
      <w:sz w:val="20"/>
    </w:rPr>
  </w:style>
  <w:style w:type="character" w:styleId="FootnoteReference">
    <w:name w:val="footnote reference"/>
    <w:basedOn w:val="DefaultParagraphFont"/>
    <w:semiHidden/>
    <w:rsid w:val="00303900"/>
    <w:rPr>
      <w:vertAlign w:val="superscript"/>
    </w:rPr>
  </w:style>
  <w:style w:type="paragraph" w:styleId="Title">
    <w:name w:val="Title"/>
    <w:basedOn w:val="Normal"/>
    <w:qFormat/>
    <w:rsid w:val="00DA55F8"/>
    <w:pPr>
      <w:spacing w:after="0"/>
      <w:jc w:val="center"/>
    </w:pPr>
    <w:rPr>
      <w:rFonts w:ascii="Arial" w:hAnsi="Arial"/>
      <w:b/>
      <w:sz w:val="28"/>
      <w:u w:val="single"/>
      <w:lang w:val="en-US"/>
    </w:rPr>
  </w:style>
  <w:style w:type="paragraph" w:customStyle="1" w:styleId="Default">
    <w:name w:val="Default"/>
    <w:basedOn w:val="Normal"/>
    <w:rsid w:val="002237A4"/>
    <w:pPr>
      <w:autoSpaceDE w:val="0"/>
      <w:autoSpaceDN w:val="0"/>
      <w:spacing w:after="0"/>
      <w:jc w:val="left"/>
    </w:pPr>
    <w:rPr>
      <w:rFonts w:eastAsia="Calibri"/>
      <w:color w:val="000000"/>
      <w:szCs w:val="24"/>
    </w:rPr>
  </w:style>
  <w:style w:type="paragraph" w:styleId="ListParagraph">
    <w:name w:val="List Paragraph"/>
    <w:basedOn w:val="Normal"/>
    <w:uiPriority w:val="34"/>
    <w:qFormat/>
    <w:rsid w:val="00F10F6F"/>
    <w:pPr>
      <w:ind w:left="720"/>
      <w:contextualSpacing/>
    </w:pPr>
  </w:style>
  <w:style w:type="paragraph" w:styleId="Revision">
    <w:name w:val="Revision"/>
    <w:hidden/>
    <w:uiPriority w:val="99"/>
    <w:semiHidden/>
    <w:rsid w:val="006528AC"/>
    <w:rPr>
      <w:sz w:val="24"/>
      <w:lang w:eastAsia="en-US"/>
    </w:rPr>
  </w:style>
  <w:style w:type="character" w:styleId="CommentReference">
    <w:name w:val="annotation reference"/>
    <w:basedOn w:val="DefaultParagraphFont"/>
    <w:semiHidden/>
    <w:unhideWhenUsed/>
    <w:rsid w:val="009A1ABA"/>
    <w:rPr>
      <w:sz w:val="16"/>
      <w:szCs w:val="16"/>
    </w:rPr>
  </w:style>
  <w:style w:type="paragraph" w:styleId="CommentText">
    <w:name w:val="annotation text"/>
    <w:basedOn w:val="Normal"/>
    <w:link w:val="CommentTextChar"/>
    <w:unhideWhenUsed/>
    <w:rsid w:val="009A1ABA"/>
    <w:rPr>
      <w:sz w:val="20"/>
    </w:rPr>
  </w:style>
  <w:style w:type="character" w:customStyle="1" w:styleId="CommentTextChar">
    <w:name w:val="Comment Text Char"/>
    <w:basedOn w:val="DefaultParagraphFont"/>
    <w:link w:val="CommentText"/>
    <w:rsid w:val="009A1ABA"/>
    <w:rPr>
      <w:lang w:eastAsia="en-US"/>
    </w:rPr>
  </w:style>
  <w:style w:type="paragraph" w:styleId="CommentSubject">
    <w:name w:val="annotation subject"/>
    <w:basedOn w:val="CommentText"/>
    <w:next w:val="CommentText"/>
    <w:link w:val="CommentSubjectChar"/>
    <w:semiHidden/>
    <w:unhideWhenUsed/>
    <w:rsid w:val="009A1ABA"/>
    <w:rPr>
      <w:b/>
      <w:bCs/>
    </w:rPr>
  </w:style>
  <w:style w:type="character" w:customStyle="1" w:styleId="CommentSubjectChar">
    <w:name w:val="Comment Subject Char"/>
    <w:basedOn w:val="CommentTextChar"/>
    <w:link w:val="CommentSubject"/>
    <w:semiHidden/>
    <w:rsid w:val="009A1ABA"/>
    <w:rPr>
      <w:b/>
      <w:bCs/>
      <w:lang w:eastAsia="en-US"/>
    </w:rPr>
  </w:style>
  <w:style w:type="character" w:styleId="Hyperlink">
    <w:name w:val="Hyperlink"/>
    <w:basedOn w:val="DefaultParagraphFont"/>
    <w:unhideWhenUsed/>
    <w:rsid w:val="0032677A"/>
    <w:rPr>
      <w:color w:val="0000FF" w:themeColor="hyperlink"/>
      <w:u w:val="single"/>
    </w:rPr>
  </w:style>
  <w:style w:type="character" w:styleId="UnresolvedMention">
    <w:name w:val="Unresolved Mention"/>
    <w:basedOn w:val="DefaultParagraphFont"/>
    <w:uiPriority w:val="99"/>
    <w:semiHidden/>
    <w:unhideWhenUsed/>
    <w:rsid w:val="0032677A"/>
    <w:rPr>
      <w:color w:val="605E5C"/>
      <w:shd w:val="clear" w:color="auto" w:fill="E1DFDD"/>
    </w:rPr>
  </w:style>
  <w:style w:type="character" w:customStyle="1" w:styleId="Heading4Char">
    <w:name w:val="Heading 4 Char"/>
    <w:basedOn w:val="DefaultParagraphFont"/>
    <w:link w:val="Heading4"/>
    <w:rsid w:val="00E72474"/>
    <w:rPr>
      <w:rFonts w:ascii="Arial" w:hAnsi="Arial"/>
      <w:b/>
      <w:sz w:val="22"/>
      <w:lang w:eastAsia="en-US"/>
    </w:rPr>
  </w:style>
  <w:style w:type="character" w:styleId="PlaceholderText">
    <w:name w:val="Placeholder Text"/>
    <w:basedOn w:val="DefaultParagraphFont"/>
    <w:uiPriority w:val="99"/>
    <w:semiHidden/>
    <w:rsid w:val="00EA466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0976">
      <w:bodyDiv w:val="1"/>
      <w:marLeft w:val="0"/>
      <w:marRight w:val="0"/>
      <w:marTop w:val="0"/>
      <w:marBottom w:val="0"/>
      <w:divBdr>
        <w:top w:val="none" w:sz="0" w:space="0" w:color="auto"/>
        <w:left w:val="none" w:sz="0" w:space="0" w:color="auto"/>
        <w:bottom w:val="none" w:sz="0" w:space="0" w:color="auto"/>
        <w:right w:val="none" w:sz="0" w:space="0" w:color="auto"/>
      </w:divBdr>
    </w:div>
    <w:div w:id="325010904">
      <w:bodyDiv w:val="1"/>
      <w:marLeft w:val="0"/>
      <w:marRight w:val="0"/>
      <w:marTop w:val="0"/>
      <w:marBottom w:val="0"/>
      <w:divBdr>
        <w:top w:val="none" w:sz="0" w:space="0" w:color="auto"/>
        <w:left w:val="none" w:sz="0" w:space="0" w:color="auto"/>
        <w:bottom w:val="none" w:sz="0" w:space="0" w:color="auto"/>
        <w:right w:val="none" w:sz="0" w:space="0" w:color="auto"/>
      </w:divBdr>
    </w:div>
    <w:div w:id="326177889">
      <w:bodyDiv w:val="1"/>
      <w:marLeft w:val="0"/>
      <w:marRight w:val="0"/>
      <w:marTop w:val="0"/>
      <w:marBottom w:val="0"/>
      <w:divBdr>
        <w:top w:val="none" w:sz="0" w:space="0" w:color="auto"/>
        <w:left w:val="none" w:sz="0" w:space="0" w:color="auto"/>
        <w:bottom w:val="none" w:sz="0" w:space="0" w:color="auto"/>
        <w:right w:val="none" w:sz="0" w:space="0" w:color="auto"/>
      </w:divBdr>
    </w:div>
    <w:div w:id="379600976">
      <w:bodyDiv w:val="1"/>
      <w:marLeft w:val="0"/>
      <w:marRight w:val="0"/>
      <w:marTop w:val="0"/>
      <w:marBottom w:val="0"/>
      <w:divBdr>
        <w:top w:val="none" w:sz="0" w:space="0" w:color="auto"/>
        <w:left w:val="none" w:sz="0" w:space="0" w:color="auto"/>
        <w:bottom w:val="none" w:sz="0" w:space="0" w:color="auto"/>
        <w:right w:val="none" w:sz="0" w:space="0" w:color="auto"/>
      </w:divBdr>
    </w:div>
    <w:div w:id="535509197">
      <w:bodyDiv w:val="1"/>
      <w:marLeft w:val="0"/>
      <w:marRight w:val="0"/>
      <w:marTop w:val="0"/>
      <w:marBottom w:val="0"/>
      <w:divBdr>
        <w:top w:val="none" w:sz="0" w:space="0" w:color="auto"/>
        <w:left w:val="none" w:sz="0" w:space="0" w:color="auto"/>
        <w:bottom w:val="none" w:sz="0" w:space="0" w:color="auto"/>
        <w:right w:val="none" w:sz="0" w:space="0" w:color="auto"/>
      </w:divBdr>
    </w:div>
    <w:div w:id="673609971">
      <w:bodyDiv w:val="1"/>
      <w:marLeft w:val="0"/>
      <w:marRight w:val="0"/>
      <w:marTop w:val="0"/>
      <w:marBottom w:val="0"/>
      <w:divBdr>
        <w:top w:val="none" w:sz="0" w:space="0" w:color="auto"/>
        <w:left w:val="none" w:sz="0" w:space="0" w:color="auto"/>
        <w:bottom w:val="none" w:sz="0" w:space="0" w:color="auto"/>
        <w:right w:val="none" w:sz="0" w:space="0" w:color="auto"/>
      </w:divBdr>
    </w:div>
    <w:div w:id="677318809">
      <w:bodyDiv w:val="1"/>
      <w:marLeft w:val="0"/>
      <w:marRight w:val="0"/>
      <w:marTop w:val="0"/>
      <w:marBottom w:val="0"/>
      <w:divBdr>
        <w:top w:val="none" w:sz="0" w:space="0" w:color="auto"/>
        <w:left w:val="none" w:sz="0" w:space="0" w:color="auto"/>
        <w:bottom w:val="none" w:sz="0" w:space="0" w:color="auto"/>
        <w:right w:val="none" w:sz="0" w:space="0" w:color="auto"/>
      </w:divBdr>
    </w:div>
    <w:div w:id="736560090">
      <w:bodyDiv w:val="1"/>
      <w:marLeft w:val="0"/>
      <w:marRight w:val="0"/>
      <w:marTop w:val="0"/>
      <w:marBottom w:val="0"/>
      <w:divBdr>
        <w:top w:val="none" w:sz="0" w:space="0" w:color="auto"/>
        <w:left w:val="none" w:sz="0" w:space="0" w:color="auto"/>
        <w:bottom w:val="none" w:sz="0" w:space="0" w:color="auto"/>
        <w:right w:val="none" w:sz="0" w:space="0" w:color="auto"/>
      </w:divBdr>
    </w:div>
    <w:div w:id="758137608">
      <w:bodyDiv w:val="1"/>
      <w:marLeft w:val="0"/>
      <w:marRight w:val="0"/>
      <w:marTop w:val="0"/>
      <w:marBottom w:val="0"/>
      <w:divBdr>
        <w:top w:val="none" w:sz="0" w:space="0" w:color="auto"/>
        <w:left w:val="none" w:sz="0" w:space="0" w:color="auto"/>
        <w:bottom w:val="none" w:sz="0" w:space="0" w:color="auto"/>
        <w:right w:val="none" w:sz="0" w:space="0" w:color="auto"/>
      </w:divBdr>
    </w:div>
    <w:div w:id="789085847">
      <w:bodyDiv w:val="1"/>
      <w:marLeft w:val="0"/>
      <w:marRight w:val="0"/>
      <w:marTop w:val="0"/>
      <w:marBottom w:val="0"/>
      <w:divBdr>
        <w:top w:val="none" w:sz="0" w:space="0" w:color="auto"/>
        <w:left w:val="none" w:sz="0" w:space="0" w:color="auto"/>
        <w:bottom w:val="none" w:sz="0" w:space="0" w:color="auto"/>
        <w:right w:val="none" w:sz="0" w:space="0" w:color="auto"/>
      </w:divBdr>
    </w:div>
    <w:div w:id="999234571">
      <w:bodyDiv w:val="1"/>
      <w:marLeft w:val="0"/>
      <w:marRight w:val="0"/>
      <w:marTop w:val="0"/>
      <w:marBottom w:val="0"/>
      <w:divBdr>
        <w:top w:val="none" w:sz="0" w:space="0" w:color="auto"/>
        <w:left w:val="none" w:sz="0" w:space="0" w:color="auto"/>
        <w:bottom w:val="none" w:sz="0" w:space="0" w:color="auto"/>
        <w:right w:val="none" w:sz="0" w:space="0" w:color="auto"/>
      </w:divBdr>
    </w:div>
    <w:div w:id="1084494578">
      <w:bodyDiv w:val="1"/>
      <w:marLeft w:val="0"/>
      <w:marRight w:val="0"/>
      <w:marTop w:val="0"/>
      <w:marBottom w:val="0"/>
      <w:divBdr>
        <w:top w:val="none" w:sz="0" w:space="0" w:color="auto"/>
        <w:left w:val="none" w:sz="0" w:space="0" w:color="auto"/>
        <w:bottom w:val="none" w:sz="0" w:space="0" w:color="auto"/>
        <w:right w:val="none" w:sz="0" w:space="0" w:color="auto"/>
      </w:divBdr>
    </w:div>
    <w:div w:id="1524711781">
      <w:bodyDiv w:val="1"/>
      <w:marLeft w:val="0"/>
      <w:marRight w:val="0"/>
      <w:marTop w:val="0"/>
      <w:marBottom w:val="0"/>
      <w:divBdr>
        <w:top w:val="none" w:sz="0" w:space="0" w:color="auto"/>
        <w:left w:val="none" w:sz="0" w:space="0" w:color="auto"/>
        <w:bottom w:val="none" w:sz="0" w:space="0" w:color="auto"/>
        <w:right w:val="none" w:sz="0" w:space="0" w:color="auto"/>
      </w:divBdr>
    </w:div>
    <w:div w:id="1637757170">
      <w:bodyDiv w:val="1"/>
      <w:marLeft w:val="0"/>
      <w:marRight w:val="0"/>
      <w:marTop w:val="0"/>
      <w:marBottom w:val="0"/>
      <w:divBdr>
        <w:top w:val="none" w:sz="0" w:space="0" w:color="auto"/>
        <w:left w:val="none" w:sz="0" w:space="0" w:color="auto"/>
        <w:bottom w:val="none" w:sz="0" w:space="0" w:color="auto"/>
        <w:right w:val="none" w:sz="0" w:space="0" w:color="auto"/>
      </w:divBdr>
      <w:divsChild>
        <w:div w:id="2136871533">
          <w:marLeft w:val="547"/>
          <w:marRight w:val="0"/>
          <w:marTop w:val="0"/>
          <w:marBottom w:val="0"/>
          <w:divBdr>
            <w:top w:val="none" w:sz="0" w:space="0" w:color="auto"/>
            <w:left w:val="none" w:sz="0" w:space="0" w:color="auto"/>
            <w:bottom w:val="none" w:sz="0" w:space="0" w:color="auto"/>
            <w:right w:val="none" w:sz="0" w:space="0" w:color="auto"/>
          </w:divBdr>
        </w:div>
      </w:divsChild>
    </w:div>
    <w:div w:id="1899003705">
      <w:bodyDiv w:val="1"/>
      <w:marLeft w:val="0"/>
      <w:marRight w:val="0"/>
      <w:marTop w:val="0"/>
      <w:marBottom w:val="0"/>
      <w:divBdr>
        <w:top w:val="none" w:sz="0" w:space="0" w:color="auto"/>
        <w:left w:val="none" w:sz="0" w:space="0" w:color="auto"/>
        <w:bottom w:val="none" w:sz="0" w:space="0" w:color="auto"/>
        <w:right w:val="none" w:sz="0" w:space="0" w:color="auto"/>
      </w:divBdr>
    </w:div>
    <w:div w:id="1999460721">
      <w:bodyDiv w:val="1"/>
      <w:marLeft w:val="0"/>
      <w:marRight w:val="0"/>
      <w:marTop w:val="0"/>
      <w:marBottom w:val="0"/>
      <w:divBdr>
        <w:top w:val="none" w:sz="0" w:space="0" w:color="auto"/>
        <w:left w:val="none" w:sz="0" w:space="0" w:color="auto"/>
        <w:bottom w:val="none" w:sz="0" w:space="0" w:color="auto"/>
        <w:right w:val="none" w:sz="0" w:space="0" w:color="auto"/>
      </w:divBdr>
    </w:div>
    <w:div w:id="209967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EF516E6-844A-4B19-A506-CFE46AA5A1C3}"/>
      </w:docPartPr>
      <w:docPartBody>
        <w:p w:rsidR="00EC57CA" w:rsidRDefault="00EC57CA">
          <w:r w:rsidRPr="009B553F">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BE54AECF-CD76-4C62-B0BF-CF7EFE707B4B}"/>
      </w:docPartPr>
      <w:docPartBody>
        <w:p w:rsidR="00EC57CA" w:rsidRDefault="00EC57CA">
          <w:r w:rsidRPr="009B553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7CA"/>
    <w:rsid w:val="000B2714"/>
    <w:rsid w:val="000E0113"/>
    <w:rsid w:val="00187F3E"/>
    <w:rsid w:val="002063C8"/>
    <w:rsid w:val="003B7C1D"/>
    <w:rsid w:val="00472700"/>
    <w:rsid w:val="004B4E48"/>
    <w:rsid w:val="005A7D01"/>
    <w:rsid w:val="005B6C47"/>
    <w:rsid w:val="007F3176"/>
    <w:rsid w:val="008303A7"/>
    <w:rsid w:val="00D64440"/>
    <w:rsid w:val="00EC57CA"/>
    <w:rsid w:val="00EF13D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57C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50C22-BD16-4EE8-9407-6900F0E23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1562</Words>
  <Characters>9971</Characters>
  <Application>Microsoft Office Word</Application>
  <DocSecurity>0</DocSecurity>
  <Lines>203</Lines>
  <Paragraphs>131</Paragraphs>
  <ScaleCrop>false</ScaleCrop>
  <HeadingPairs>
    <vt:vector size="2" baseType="variant">
      <vt:variant>
        <vt:lpstr>Title</vt:lpstr>
      </vt:variant>
      <vt:variant>
        <vt:i4>1</vt:i4>
      </vt:variant>
    </vt:vector>
  </HeadingPairs>
  <TitlesOfParts>
    <vt:vector size="1" baseType="lpstr">
      <vt:lpstr>Faculty/Administrative/Service Department:</vt:lpstr>
    </vt:vector>
  </TitlesOfParts>
  <Company>University of Surrey</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Faculty/Administrative/Service Department:</dc:title>
  <dc:creator>eex120</dc:creator>
  <cp:lastModifiedBy>Dubber, Tom (Human Resources)</cp:lastModifiedBy>
  <cp:revision>2</cp:revision>
  <cp:lastPrinted>2014-01-28T11:53:00Z</cp:lastPrinted>
  <dcterms:created xsi:type="dcterms:W3CDTF">2025-11-12T11:33:00Z</dcterms:created>
  <dcterms:modified xsi:type="dcterms:W3CDTF">2025-11-12T11:33:00Z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460512f7-ebbd-4cd3-a9fc-e14473a3ebe5</vt:lpwstr>
  </property>
</Properties>
</file>